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sz w:val="48"/>
          <w:szCs w:val="48"/>
        </w:rPr>
      </w:pPr>
    </w:p>
    <w:p>
      <w:pPr>
        <w:jc w:val="center"/>
        <w:rPr>
          <w:rFonts w:cs="宋体"/>
          <w:b/>
          <w:bCs/>
          <w:sz w:val="48"/>
          <w:szCs w:val="48"/>
        </w:rPr>
      </w:pPr>
    </w:p>
    <w:p>
      <w:pPr>
        <w:jc w:val="center"/>
        <w:rPr>
          <w:rFonts w:cs="宋体"/>
          <w:b/>
          <w:bCs/>
          <w:sz w:val="48"/>
          <w:szCs w:val="48"/>
        </w:rPr>
      </w:pPr>
    </w:p>
    <w:p>
      <w:pPr>
        <w:jc w:val="center"/>
        <w:rPr>
          <w:rFonts w:cs="宋体"/>
          <w:b/>
          <w:bCs/>
          <w:sz w:val="48"/>
          <w:szCs w:val="48"/>
        </w:rPr>
      </w:pPr>
    </w:p>
    <w:p>
      <w:pPr>
        <w:jc w:val="center"/>
        <w:rPr>
          <w:rFonts w:cs="宋体"/>
          <w:b/>
          <w:bCs/>
          <w:sz w:val="48"/>
          <w:szCs w:val="48"/>
        </w:rPr>
      </w:pPr>
    </w:p>
    <w:p>
      <w:pPr>
        <w:jc w:val="center"/>
        <w:rPr>
          <w:rFonts w:cs="宋体"/>
          <w:b/>
          <w:bCs/>
          <w:sz w:val="48"/>
          <w:szCs w:val="48"/>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spacing w:line="480" w:lineRule="auto"/>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kern w:val="44"/>
          <w:sz w:val="48"/>
          <w:szCs w:val="48"/>
        </w:rPr>
      </w:pPr>
      <w:r>
        <w:rPr>
          <w:rFonts w:hint="eastAsia" w:ascii="宋体" w:hAnsi="宋体" w:eastAsia="宋体" w:cs="宋体"/>
          <w:b/>
          <w:bCs/>
          <w:color w:val="000000"/>
          <w:kern w:val="44"/>
          <w:sz w:val="48"/>
          <w:szCs w:val="48"/>
        </w:rPr>
        <w:t>2022-2024年南沙口岸集装箱吊装、移位、仓储查验服务项目采购需求（征集公示稿）</w:t>
      </w:r>
    </w:p>
    <w:p>
      <w:pPr>
        <w:rPr>
          <w:rFonts w:hint="eastAsia" w:ascii="宋体" w:hAnsi="宋体" w:eastAsia="宋体" w:cs="宋体"/>
          <w:b/>
          <w:bCs/>
          <w:color w:val="000000"/>
          <w:kern w:val="44"/>
          <w:sz w:val="44"/>
          <w:szCs w:val="44"/>
        </w:rPr>
      </w:pPr>
      <w:r>
        <w:rPr>
          <w:rFonts w:hint="eastAsia" w:ascii="宋体" w:hAnsi="宋体" w:eastAsia="宋体" w:cs="宋体"/>
          <w:b/>
          <w:bCs/>
          <w:color w:val="000000"/>
          <w:kern w:val="44"/>
          <w:sz w:val="44"/>
          <w:szCs w:val="44"/>
        </w:rPr>
        <w:br w:type="page"/>
      </w:r>
    </w:p>
    <w:p>
      <w:pPr>
        <w:adjustRightInd w:val="0"/>
        <w:snapToGrid w:val="0"/>
        <w:spacing w:line="360" w:lineRule="auto"/>
        <w:jc w:val="center"/>
        <w:rPr>
          <w:rFonts w:cs="宋体"/>
          <w:b/>
          <w:bCs/>
          <w:color w:val="000000"/>
          <w:kern w:val="44"/>
          <w:szCs w:val="21"/>
        </w:rPr>
      </w:pPr>
      <w:r>
        <w:rPr>
          <w:rFonts w:hint="eastAsia" w:cs="宋体"/>
          <w:b/>
          <w:bCs/>
          <w:color w:val="000000"/>
          <w:kern w:val="44"/>
          <w:sz w:val="44"/>
          <w:szCs w:val="44"/>
        </w:rPr>
        <w:t>用户需求</w:t>
      </w:r>
    </w:p>
    <w:p>
      <w:pPr>
        <w:numPr>
          <w:ilvl w:val="0"/>
          <w:numId w:val="1"/>
        </w:numPr>
        <w:tabs>
          <w:tab w:val="left" w:pos="525"/>
          <w:tab w:val="left" w:pos="846"/>
        </w:tabs>
        <w:autoSpaceDE w:val="0"/>
        <w:autoSpaceDN w:val="0"/>
        <w:adjustRightInd w:val="0"/>
        <w:snapToGrid w:val="0"/>
        <w:spacing w:line="360" w:lineRule="auto"/>
        <w:ind w:left="420"/>
        <w:outlineLvl w:val="1"/>
        <w:rPr>
          <w:rFonts w:hint="eastAsia" w:ascii="宋体" w:hAnsi="宋体" w:eastAsia="宋体" w:cs="宋体"/>
          <w:b/>
          <w:bCs/>
          <w:color w:val="000000"/>
          <w:szCs w:val="21"/>
        </w:rPr>
      </w:pPr>
      <w:bookmarkStart w:id="0" w:name="_Toc385940873"/>
      <w:r>
        <w:rPr>
          <w:rFonts w:hint="eastAsia" w:ascii="宋体" w:hAnsi="宋体" w:eastAsia="宋体" w:cs="宋体"/>
          <w:b/>
          <w:bCs/>
          <w:color w:val="000000"/>
          <w:szCs w:val="21"/>
        </w:rPr>
        <w:t>项目</w:t>
      </w:r>
      <w:r>
        <w:rPr>
          <w:rFonts w:hint="eastAsia" w:ascii="宋体" w:hAnsi="宋体" w:eastAsia="宋体" w:cs="宋体"/>
          <w:b/>
          <w:bCs/>
          <w:color w:val="000000"/>
          <w:szCs w:val="21"/>
          <w:lang w:val="en-US" w:eastAsia="zh-CN"/>
        </w:rPr>
        <w:t>总</w:t>
      </w:r>
      <w:r>
        <w:rPr>
          <w:rFonts w:hint="eastAsia" w:ascii="宋体" w:hAnsi="宋体" w:eastAsia="宋体" w:cs="宋体"/>
          <w:b/>
          <w:bCs/>
          <w:color w:val="000000"/>
          <w:szCs w:val="21"/>
        </w:rPr>
        <w:t>预算：</w:t>
      </w:r>
      <w:r>
        <w:rPr>
          <w:rFonts w:hint="eastAsia" w:ascii="宋体" w:hAnsi="宋体" w:cs="宋体"/>
          <w:b/>
          <w:bCs/>
          <w:color w:val="000000"/>
          <w:szCs w:val="21"/>
          <w:lang w:val="en-US" w:eastAsia="zh-CN"/>
        </w:rPr>
        <w:t>7645</w:t>
      </w:r>
      <w:r>
        <w:rPr>
          <w:rFonts w:hint="eastAsia" w:ascii="宋体" w:hAnsi="宋体" w:eastAsia="宋体" w:cs="宋体"/>
          <w:b/>
          <w:bCs/>
          <w:color w:val="000000"/>
          <w:szCs w:val="21"/>
        </w:rPr>
        <w:t>万</w:t>
      </w:r>
    </w:p>
    <w:p>
      <w:pPr>
        <w:numPr>
          <w:ilvl w:val="0"/>
          <w:numId w:val="1"/>
        </w:numPr>
        <w:tabs>
          <w:tab w:val="left" w:pos="525"/>
          <w:tab w:val="left" w:pos="846"/>
        </w:tabs>
        <w:autoSpaceDE w:val="0"/>
        <w:autoSpaceDN w:val="0"/>
        <w:adjustRightInd w:val="0"/>
        <w:snapToGrid w:val="0"/>
        <w:spacing w:line="360" w:lineRule="auto"/>
        <w:ind w:left="420"/>
        <w:outlineLvl w:val="1"/>
        <w:rPr>
          <w:rFonts w:hint="eastAsia" w:ascii="宋体" w:hAnsi="宋体" w:eastAsia="宋体" w:cs="宋体"/>
          <w:b/>
          <w:bCs/>
          <w:color w:val="000000"/>
          <w:szCs w:val="21"/>
        </w:rPr>
      </w:pPr>
      <w:r>
        <w:rPr>
          <w:rFonts w:hint="eastAsia" w:ascii="宋体" w:hAnsi="宋体" w:eastAsia="宋体" w:cs="宋体"/>
          <w:b/>
          <w:bCs/>
          <w:color w:val="000000"/>
          <w:szCs w:val="21"/>
        </w:rPr>
        <w:t>服务期限：合同签订之日起三年</w:t>
      </w:r>
    </w:p>
    <w:bookmarkEnd w:id="0"/>
    <w:p>
      <w:pPr>
        <w:numPr>
          <w:ilvl w:val="0"/>
          <w:numId w:val="1"/>
        </w:numPr>
        <w:tabs>
          <w:tab w:val="left" w:pos="525"/>
          <w:tab w:val="left" w:pos="846"/>
        </w:tabs>
        <w:autoSpaceDE w:val="0"/>
        <w:autoSpaceDN w:val="0"/>
        <w:adjustRightInd w:val="0"/>
        <w:snapToGrid w:val="0"/>
        <w:spacing w:line="360" w:lineRule="auto"/>
        <w:ind w:left="420"/>
        <w:outlineLvl w:val="1"/>
        <w:rPr>
          <w:rFonts w:hint="eastAsia" w:ascii="宋体" w:hAnsi="宋体" w:eastAsia="宋体" w:cs="宋体"/>
          <w:b/>
          <w:bCs/>
          <w:szCs w:val="21"/>
        </w:rPr>
      </w:pPr>
      <w:r>
        <w:rPr>
          <w:rFonts w:hint="eastAsia" w:ascii="宋体" w:hAnsi="宋体" w:eastAsia="宋体" w:cs="宋体"/>
          <w:b/>
          <w:bCs/>
          <w:szCs w:val="21"/>
        </w:rPr>
        <w:t>响应报价说明</w:t>
      </w:r>
    </w:p>
    <w:p>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包组一（二期码头）：</w:t>
      </w:r>
    </w:p>
    <w:p>
      <w:pPr>
        <w:spacing w:line="360" w:lineRule="auto"/>
        <w:ind w:firstLine="420" w:firstLineChars="200"/>
        <w:rPr>
          <w:rFonts w:hint="eastAsia" w:ascii="宋体" w:hAnsi="宋体" w:eastAsia="宋体" w:cs="宋体"/>
          <w:color w:val="000000"/>
          <w:szCs w:val="21"/>
        </w:rPr>
      </w:pPr>
      <w:bookmarkStart w:id="1" w:name="_Toc354837677"/>
      <w:bookmarkStart w:id="2" w:name="_Toc351453025"/>
      <w:r>
        <w:rPr>
          <w:rFonts w:hint="eastAsia" w:ascii="宋体" w:hAnsi="宋体" w:eastAsia="宋体" w:cs="宋体"/>
          <w:color w:val="000000"/>
          <w:szCs w:val="21"/>
        </w:rPr>
        <w:t>本包组报价包括</w:t>
      </w:r>
      <w:r>
        <w:rPr>
          <w:rFonts w:hint="eastAsia" w:ascii="宋体" w:hAnsi="宋体" w:eastAsia="宋体" w:cs="宋体"/>
          <w:color w:val="000000"/>
          <w:kern w:val="0"/>
          <w:szCs w:val="21"/>
        </w:rPr>
        <w:t>过磅、机检查验费</w:t>
      </w:r>
      <w:r>
        <w:rPr>
          <w:rFonts w:hint="eastAsia" w:ascii="宋体" w:hAnsi="宋体" w:eastAsia="宋体" w:cs="宋体"/>
          <w:color w:val="000000"/>
          <w:szCs w:val="21"/>
        </w:rPr>
        <w:t>等，相关报价</w:t>
      </w:r>
      <w:r>
        <w:rPr>
          <w:rFonts w:hint="eastAsia" w:ascii="宋体" w:hAnsi="宋体" w:eastAsia="宋体" w:cs="宋体"/>
          <w:color w:val="000000"/>
          <w:kern w:val="0"/>
          <w:szCs w:val="21"/>
        </w:rPr>
        <w:t>最高限价</w:t>
      </w:r>
      <w:r>
        <w:rPr>
          <w:rFonts w:hint="eastAsia" w:ascii="宋体" w:hAnsi="宋体" w:eastAsia="宋体" w:cs="宋体"/>
          <w:color w:val="000000"/>
          <w:szCs w:val="21"/>
        </w:rPr>
        <w:t>如下表，凡超出最高限价报价的，将作废标处理。</w:t>
      </w:r>
      <w:bookmarkEnd w:id="1"/>
      <w:bookmarkEnd w:id="2"/>
    </w:p>
    <w:p>
      <w:pPr>
        <w:spacing w:line="360" w:lineRule="auto"/>
        <w:ind w:firstLine="422" w:firstLineChars="20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进出口集装箱查验服务包干费最高限价</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3770"/>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43"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3756" w:type="pct"/>
            <w:gridSpan w:val="2"/>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过磅、机检查验费</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3" w:type="pct"/>
            <w:noWrap w:val="0"/>
            <w:vAlign w:val="center"/>
          </w:tcPr>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1913"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843"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3"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价格</w:t>
            </w:r>
          </w:p>
        </w:tc>
        <w:tc>
          <w:tcPr>
            <w:tcW w:w="1913"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80.00</w:t>
            </w:r>
          </w:p>
        </w:tc>
        <w:tc>
          <w:tcPr>
            <w:tcW w:w="1843"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120.00</w:t>
            </w:r>
          </w:p>
        </w:tc>
      </w:tr>
    </w:tbl>
    <w:p>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包组二（</w:t>
      </w:r>
      <w:r>
        <w:rPr>
          <w:rFonts w:hint="eastAsia" w:ascii="宋体" w:hAnsi="宋体" w:eastAsia="宋体" w:cs="宋体"/>
          <w:b/>
          <w:color w:val="000000"/>
        </w:rPr>
        <w:t>三期码头</w:t>
      </w:r>
      <w:r>
        <w:rPr>
          <w:rFonts w:hint="eastAsia" w:ascii="宋体" w:hAnsi="宋体" w:eastAsia="宋体" w:cs="宋体"/>
          <w:b/>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本包组报价包括</w:t>
      </w:r>
      <w:r>
        <w:rPr>
          <w:rFonts w:hint="eastAsia" w:ascii="宋体" w:hAnsi="宋体" w:eastAsia="宋体" w:cs="宋体"/>
          <w:color w:val="000000"/>
          <w:kern w:val="0"/>
          <w:szCs w:val="21"/>
        </w:rPr>
        <w:t>过磅、机检查验费</w:t>
      </w:r>
      <w:r>
        <w:rPr>
          <w:rFonts w:hint="eastAsia" w:ascii="宋体" w:hAnsi="宋体" w:eastAsia="宋体" w:cs="宋体"/>
          <w:color w:val="000000"/>
          <w:szCs w:val="21"/>
        </w:rPr>
        <w:t>等，相关报价最高限价如下表，凡超出最高限价报价的，将作废标处理。</w:t>
      </w:r>
    </w:p>
    <w:p>
      <w:pPr>
        <w:spacing w:line="360" w:lineRule="auto"/>
        <w:ind w:firstLine="422" w:firstLineChars="20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进出口集装箱查验服务包干费最高限价</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3786"/>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3817" w:type="pct"/>
            <w:gridSpan w:val="2"/>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过磅、机检查验费</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noWrap w:val="0"/>
            <w:vAlign w:val="center"/>
          </w:tcPr>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1921"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895"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2"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价格</w:t>
            </w:r>
          </w:p>
        </w:tc>
        <w:tc>
          <w:tcPr>
            <w:tcW w:w="1921"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80.00</w:t>
            </w:r>
          </w:p>
        </w:tc>
        <w:tc>
          <w:tcPr>
            <w:tcW w:w="1895" w:type="pct"/>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120.00</w:t>
            </w:r>
          </w:p>
        </w:tc>
      </w:tr>
    </w:tbl>
    <w:p>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包组三（南伟码头）：</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本包组报价包括重</w:t>
      </w:r>
      <w:r>
        <w:rPr>
          <w:rFonts w:hint="eastAsia" w:ascii="宋体" w:hAnsi="宋体" w:eastAsia="宋体" w:cs="宋体"/>
          <w:color w:val="000000"/>
          <w:szCs w:val="21"/>
          <w:highlight w:val="none"/>
        </w:rPr>
        <w:t>箱、冻柜查验服务包干费等，相关报</w:t>
      </w:r>
      <w:r>
        <w:rPr>
          <w:rFonts w:hint="eastAsia" w:ascii="宋体" w:hAnsi="宋体" w:eastAsia="宋体" w:cs="宋体"/>
          <w:color w:val="000000"/>
          <w:szCs w:val="21"/>
        </w:rPr>
        <w:t>价最高限价如下表，凡超出最高限价报价的，将作废标处理。</w:t>
      </w:r>
    </w:p>
    <w:p>
      <w:pPr>
        <w:spacing w:line="360" w:lineRule="auto"/>
        <w:ind w:firstLine="422" w:firstLineChars="20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进出口集装箱查验服务包干费最高限价</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968"/>
        <w:gridCol w:w="1972"/>
        <w:gridCol w:w="1969"/>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200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重箱查验服务包干费</w:t>
            </w:r>
          </w:p>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c>
          <w:tcPr>
            <w:tcW w:w="200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冻柜查验服务包干费</w:t>
            </w:r>
          </w:p>
          <w:p>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000000"/>
                <w:kern w:val="0"/>
                <w:szCs w:val="21"/>
              </w:rPr>
              <w:t>40尺</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价格</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265.00</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000000"/>
                <w:kern w:val="0"/>
                <w:szCs w:val="21"/>
              </w:rPr>
              <w:t>370.00</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120.00</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150.00</w:t>
            </w:r>
          </w:p>
        </w:tc>
      </w:tr>
    </w:tbl>
    <w:p>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包组四（集中查验中心）：</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本包组报价包括重箱、冻柜查验服务包干费，相关报价最高限价如下表，凡超出最高限价报价的，将作废标处理。</w:t>
      </w:r>
    </w:p>
    <w:p>
      <w:pPr>
        <w:spacing w:line="360" w:lineRule="auto"/>
        <w:ind w:firstLine="422" w:firstLineChars="20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进出口集装箱查验服务包干费最高限价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93"/>
        <w:gridCol w:w="1595"/>
        <w:gridCol w:w="1594"/>
        <w:gridCol w:w="159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478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重柜</w:t>
            </w:r>
          </w:p>
        </w:tc>
        <w:tc>
          <w:tcPr>
            <w:tcW w:w="317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冻柜查验服务包干费</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159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5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c>
          <w:tcPr>
            <w:tcW w:w="15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尺</w:t>
            </w:r>
          </w:p>
        </w:tc>
        <w:tc>
          <w:tcPr>
            <w:tcW w:w="15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5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价格</w:t>
            </w:r>
          </w:p>
        </w:tc>
        <w:tc>
          <w:tcPr>
            <w:tcW w:w="159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300.00</w:t>
            </w:r>
          </w:p>
        </w:tc>
        <w:tc>
          <w:tcPr>
            <w:tcW w:w="159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500.00</w:t>
            </w:r>
          </w:p>
        </w:tc>
        <w:tc>
          <w:tcPr>
            <w:tcW w:w="15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550.00</w:t>
            </w:r>
          </w:p>
        </w:tc>
        <w:tc>
          <w:tcPr>
            <w:tcW w:w="159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390.00</w:t>
            </w:r>
          </w:p>
        </w:tc>
        <w:tc>
          <w:tcPr>
            <w:tcW w:w="158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550.00</w:t>
            </w:r>
          </w:p>
        </w:tc>
      </w:tr>
    </w:tbl>
    <w:p>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包组</w:t>
      </w:r>
      <w:r>
        <w:rPr>
          <w:rFonts w:hint="eastAsia" w:ascii="宋体" w:hAnsi="宋体" w:eastAsia="宋体" w:cs="宋体"/>
          <w:b/>
          <w:color w:val="000000"/>
          <w:szCs w:val="21"/>
          <w:lang w:val="en-US" w:eastAsia="zh-CN"/>
        </w:rPr>
        <w:t>五</w:t>
      </w:r>
      <w:r>
        <w:rPr>
          <w:rFonts w:hint="eastAsia" w:ascii="宋体" w:hAnsi="宋体" w:eastAsia="宋体" w:cs="宋体"/>
          <w:b/>
          <w:color w:val="000000"/>
          <w:szCs w:val="21"/>
        </w:rPr>
        <w:t>（</w:t>
      </w:r>
      <w:r>
        <w:rPr>
          <w:rFonts w:hint="eastAsia" w:ascii="宋体" w:hAnsi="宋体" w:eastAsia="宋体" w:cs="宋体"/>
          <w:b/>
          <w:color w:val="000000"/>
          <w:szCs w:val="21"/>
          <w:lang w:val="en-US" w:eastAsia="zh-CN"/>
        </w:rPr>
        <w:t>货运码头</w:t>
      </w:r>
      <w:r>
        <w:rPr>
          <w:rFonts w:hint="eastAsia" w:ascii="宋体" w:hAnsi="宋体" w:eastAsia="宋体" w:cs="宋体"/>
          <w:b/>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本包组报价包括重箱、冻柜查验服务包干费等，相关报价最高限价如下表，凡超出最高限价报价的，将作废标处理。</w:t>
      </w:r>
    </w:p>
    <w:p>
      <w:pPr>
        <w:spacing w:line="360" w:lineRule="auto"/>
        <w:ind w:firstLine="422" w:firstLineChars="20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进出口集装箱查验服务包干费最高限价</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968"/>
        <w:gridCol w:w="1972"/>
        <w:gridCol w:w="1969"/>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2000"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重箱查验服务包干费</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c>
          <w:tcPr>
            <w:tcW w:w="2000"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冻柜查验服务包干费</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000000"/>
                <w:kern w:val="0"/>
                <w:szCs w:val="21"/>
              </w:rPr>
              <w:t>40尺</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价格</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265.00</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FF0000"/>
                <w:kern w:val="0"/>
                <w:szCs w:val="21"/>
              </w:rPr>
            </w:pPr>
            <w:r>
              <w:rPr>
                <w:rFonts w:hint="eastAsia" w:ascii="宋体" w:hAnsi="宋体" w:eastAsia="宋体" w:cs="宋体"/>
                <w:color w:val="000000"/>
                <w:kern w:val="0"/>
                <w:szCs w:val="21"/>
              </w:rPr>
              <w:t>370.00</w:t>
            </w:r>
          </w:p>
        </w:tc>
        <w:tc>
          <w:tcPr>
            <w:tcW w:w="999"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120.00</w:t>
            </w:r>
          </w:p>
        </w:tc>
        <w:tc>
          <w:tcPr>
            <w:tcW w:w="1000"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150.00</w:t>
            </w:r>
          </w:p>
        </w:tc>
      </w:tr>
    </w:tbl>
    <w:p>
      <w:pPr>
        <w:spacing w:line="360" w:lineRule="auto"/>
        <w:rPr>
          <w:rFonts w:hint="eastAsia" w:ascii="宋体" w:hAnsi="宋体" w:eastAsia="宋体" w:cs="宋体"/>
          <w:b/>
          <w:color w:val="000000"/>
          <w:szCs w:val="21"/>
        </w:rPr>
      </w:pPr>
      <w:r>
        <w:rPr>
          <w:rFonts w:hint="eastAsia" w:ascii="宋体" w:hAnsi="宋体" w:eastAsia="宋体" w:cs="宋体"/>
          <w:b/>
          <w:color w:val="000000"/>
          <w:szCs w:val="21"/>
        </w:rPr>
        <w:t>包组</w:t>
      </w:r>
      <w:r>
        <w:rPr>
          <w:rFonts w:hint="eastAsia" w:ascii="宋体" w:hAnsi="宋体" w:eastAsia="宋体" w:cs="宋体"/>
          <w:b/>
          <w:color w:val="000000"/>
          <w:szCs w:val="21"/>
          <w:lang w:val="en-US" w:eastAsia="zh-CN"/>
        </w:rPr>
        <w:t>六</w:t>
      </w:r>
      <w:r>
        <w:rPr>
          <w:rFonts w:hint="eastAsia" w:ascii="宋体" w:hAnsi="宋体" w:eastAsia="宋体" w:cs="宋体"/>
          <w:b/>
          <w:color w:val="000000"/>
          <w:szCs w:val="21"/>
        </w:rPr>
        <w:t>（</w:t>
      </w:r>
      <w:r>
        <w:rPr>
          <w:rFonts w:hint="eastAsia" w:ascii="宋体" w:hAnsi="宋体" w:eastAsia="宋体" w:cs="宋体"/>
          <w:bCs/>
          <w:color w:val="000000"/>
          <w:sz w:val="21"/>
          <w:szCs w:val="21"/>
          <w:highlight w:val="none"/>
          <w:lang w:val="en-US" w:eastAsia="zh-CN" w:bidi="ar"/>
        </w:rPr>
        <w:t>集中查验中心冷冻类</w:t>
      </w:r>
      <w:r>
        <w:rPr>
          <w:rFonts w:hint="eastAsia" w:ascii="宋体" w:hAnsi="宋体" w:eastAsia="宋体" w:cs="宋体"/>
          <w:b/>
          <w:color w:val="000000"/>
          <w:szCs w:val="21"/>
        </w:rPr>
        <w:t>）：</w:t>
      </w:r>
    </w:p>
    <w:p>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本包组报价包括冻柜查验服务包干费等，相关报价最高限价如下表，凡超出最高限价报价的，将作废标处理。</w:t>
      </w:r>
    </w:p>
    <w:p>
      <w:pPr>
        <w:spacing w:line="360" w:lineRule="auto"/>
        <w:ind w:firstLine="422" w:firstLineChars="200"/>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进出口集装箱查验服务包干费最高限价</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1"/>
        <w:gridCol w:w="3281"/>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类别</w:t>
            </w:r>
          </w:p>
        </w:tc>
        <w:tc>
          <w:tcPr>
            <w:tcW w:w="3334"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冻柜查验服务包干费</w:t>
            </w:r>
          </w:p>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（最高限价  元/柜）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尺寸</w:t>
            </w:r>
          </w:p>
        </w:tc>
        <w:tc>
          <w:tcPr>
            <w:tcW w:w="16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20尺</w:t>
            </w:r>
          </w:p>
        </w:tc>
        <w:tc>
          <w:tcPr>
            <w:tcW w:w="1668"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40尺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价格</w:t>
            </w:r>
          </w:p>
        </w:tc>
        <w:tc>
          <w:tcPr>
            <w:tcW w:w="166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390.00</w:t>
            </w:r>
          </w:p>
        </w:tc>
        <w:tc>
          <w:tcPr>
            <w:tcW w:w="1668"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550.00</w:t>
            </w:r>
          </w:p>
        </w:tc>
      </w:tr>
    </w:tbl>
    <w:p>
      <w:pPr>
        <w:numPr>
          <w:ilvl w:val="0"/>
          <w:numId w:val="1"/>
        </w:numPr>
        <w:tabs>
          <w:tab w:val="left" w:pos="525"/>
          <w:tab w:val="left" w:pos="846"/>
        </w:tabs>
        <w:autoSpaceDE w:val="0"/>
        <w:autoSpaceDN w:val="0"/>
        <w:adjustRightInd w:val="0"/>
        <w:snapToGrid w:val="0"/>
        <w:spacing w:line="360" w:lineRule="auto"/>
        <w:ind w:left="420"/>
        <w:outlineLvl w:val="1"/>
        <w:rPr>
          <w:rFonts w:hint="eastAsia" w:ascii="宋体" w:hAnsi="宋体" w:eastAsia="宋体" w:cs="宋体"/>
          <w:b/>
          <w:bCs/>
          <w:color w:val="000000"/>
          <w:szCs w:val="21"/>
        </w:rPr>
      </w:pPr>
      <w:r>
        <w:rPr>
          <w:rFonts w:hint="eastAsia" w:ascii="宋体" w:hAnsi="宋体" w:eastAsia="宋体" w:cs="宋体"/>
          <w:b/>
          <w:bCs/>
          <w:color w:val="000000"/>
          <w:szCs w:val="21"/>
        </w:rPr>
        <w:t>项目</w:t>
      </w:r>
      <w:r>
        <w:rPr>
          <w:rFonts w:hint="eastAsia" w:ascii="宋体" w:hAnsi="宋体" w:eastAsia="宋体" w:cs="宋体"/>
          <w:b/>
          <w:bCs/>
          <w:color w:val="000000"/>
          <w:szCs w:val="21"/>
          <w:lang w:val="en-US" w:eastAsia="zh-CN"/>
        </w:rPr>
        <w:t>背景</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outlineLvl w:val="9"/>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一</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根据《财政部海关总署国家质检总局国家发展改革委交通运输部</w:t>
      </w:r>
      <w:r>
        <w:rPr>
          <w:rFonts w:hint="eastAsia" w:ascii="宋体" w:hAnsi="宋体" w:eastAsia="宋体" w:cs="宋体"/>
          <w:color w:val="000000"/>
          <w:sz w:val="21"/>
          <w:szCs w:val="21"/>
          <w:shd w:val="clear" w:color="auto" w:fill="FFFFFF"/>
          <w:lang w:val="en-US" w:eastAsia="zh-CN"/>
        </w:rPr>
        <w:t xml:space="preserve"> </w:t>
      </w:r>
      <w:r>
        <w:rPr>
          <w:rFonts w:hint="eastAsia" w:ascii="宋体" w:hAnsi="宋体" w:eastAsia="宋体" w:cs="宋体"/>
          <w:color w:val="000000"/>
          <w:sz w:val="21"/>
          <w:szCs w:val="21"/>
          <w:shd w:val="clear" w:color="auto" w:fill="FFFFFF"/>
        </w:rPr>
        <w:t>商务部关于免除查验没有问题外贸企业吊装移位仓储费用全面试点工作的通知》（财行〔2016〕10号）、</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广州市人民政府办公厅关于印发广州市开展免除查验没有问题外贸企业吊装移位仓储费用全面试点工作实施方案的通知</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lang w:val="en-US" w:eastAsia="zh-CN"/>
        </w:rPr>
        <w:t>穗府办函[2016]106号</w:t>
      </w:r>
      <w:r>
        <w:rPr>
          <w:rFonts w:hint="eastAsia" w:ascii="宋体" w:hAnsi="宋体" w:eastAsia="宋体" w:cs="宋体"/>
          <w:color w:val="000000"/>
          <w:sz w:val="21"/>
          <w:szCs w:val="21"/>
          <w:highlight w:val="none"/>
          <w:shd w:val="clear" w:color="auto" w:fill="FFFFFF"/>
          <w:lang w:eastAsia="zh-CN"/>
        </w:rPr>
        <w:t>）、《广州市口岸办关于广州南沙货运实业有限公司等企业增补列入广州市免除查验费用试点口岸名单的意见》</w:t>
      </w:r>
      <w:r>
        <w:rPr>
          <w:rFonts w:hint="eastAsia" w:ascii="宋体" w:hAnsi="宋体" w:eastAsia="宋体" w:cs="宋体"/>
          <w:color w:val="000000"/>
          <w:sz w:val="21"/>
          <w:szCs w:val="21"/>
          <w:shd w:val="clear" w:color="auto" w:fill="FFFFFF"/>
        </w:rPr>
        <w:t>等文件精神</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继续开展政府购买查验服务试点工作（不含检验检疫部分）。</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 xml:space="preserve">（二）为完善南沙港口岸配套查验设施，2005 年广州中可诚贸易有限公司受南沙区政府、广州海关(原检验检疫局)推荐在南沙港二期码头集中查验中心内设置了中可诚进口肉类指定监管场地。2007年4月南沙海关(原检验检疫局)正式进驻中可诚进口肉类指定监管场地，形成广州港物流有限公司的普货查验中心与广州中可诚贸易公司的中可诚进口肉类指定监管场地(冷冻类)分工互补的集中查验中心。 </w:t>
      </w:r>
    </w:p>
    <w:p>
      <w:pPr>
        <w:numPr>
          <w:ilvl w:val="0"/>
          <w:numId w:val="1"/>
        </w:numPr>
        <w:tabs>
          <w:tab w:val="left" w:pos="525"/>
          <w:tab w:val="left" w:pos="846"/>
        </w:tabs>
        <w:autoSpaceDE w:val="0"/>
        <w:autoSpaceDN w:val="0"/>
        <w:adjustRightInd w:val="0"/>
        <w:snapToGrid w:val="0"/>
        <w:spacing w:line="360" w:lineRule="auto"/>
        <w:ind w:left="420"/>
        <w:outlineLvl w:val="1"/>
        <w:rPr>
          <w:rFonts w:hint="eastAsia" w:ascii="宋体" w:hAnsi="宋体" w:eastAsia="宋体" w:cs="宋体"/>
          <w:b/>
          <w:bCs/>
          <w:szCs w:val="21"/>
        </w:rPr>
      </w:pPr>
      <w:r>
        <w:rPr>
          <w:rFonts w:hint="eastAsia" w:ascii="宋体" w:hAnsi="宋体" w:eastAsia="宋体" w:cs="宋体"/>
          <w:b/>
          <w:bCs/>
          <w:szCs w:val="21"/>
          <w:lang w:val="en-US" w:eastAsia="zh-CN"/>
        </w:rPr>
        <w:t>服务</w:t>
      </w:r>
      <w:r>
        <w:rPr>
          <w:rFonts w:hint="eastAsia" w:ascii="宋体" w:hAnsi="宋体" w:eastAsia="宋体" w:cs="宋体"/>
          <w:b/>
          <w:bCs/>
          <w:szCs w:val="21"/>
        </w:rPr>
        <w:t>要求</w:t>
      </w:r>
    </w:p>
    <w:p>
      <w:pPr>
        <w:spacing w:line="360" w:lineRule="auto"/>
        <w:jc w:val="center"/>
        <w:rPr>
          <w:rFonts w:hint="eastAsia" w:ascii="宋体" w:hAnsi="宋体" w:eastAsia="宋体" w:cs="宋体"/>
          <w:b/>
        </w:rPr>
      </w:pPr>
      <w:r>
        <w:rPr>
          <w:rFonts w:hint="eastAsia" w:ascii="宋体" w:hAnsi="宋体" w:eastAsia="宋体" w:cs="宋体"/>
          <w:b/>
        </w:rPr>
        <w:t>包组一</w:t>
      </w:r>
      <w:r>
        <w:rPr>
          <w:rFonts w:hint="eastAsia" w:ascii="宋体" w:hAnsi="宋体" w:eastAsia="宋体" w:cs="宋体"/>
          <w:b/>
          <w:szCs w:val="21"/>
        </w:rPr>
        <w:t>（二期码头）</w:t>
      </w:r>
    </w:p>
    <w:p>
      <w:pPr>
        <w:numPr>
          <w:ilvl w:val="0"/>
          <w:numId w:val="2"/>
        </w:numPr>
        <w:spacing w:line="360" w:lineRule="auto"/>
        <w:rPr>
          <w:rFonts w:hint="eastAsia" w:ascii="宋体" w:hAnsi="宋体" w:eastAsia="宋体" w:cs="宋体"/>
          <w:b/>
        </w:rPr>
      </w:pPr>
      <w:r>
        <w:rPr>
          <w:rFonts w:hint="eastAsia" w:ascii="宋体" w:hAnsi="宋体" w:eastAsia="宋体" w:cs="宋体"/>
          <w:b/>
        </w:rPr>
        <w:t>服务内容</w:t>
      </w:r>
    </w:p>
    <w:p>
      <w:pPr>
        <w:spacing w:line="360" w:lineRule="auto"/>
        <w:ind w:firstLine="420" w:firstLineChars="200"/>
        <w:rPr>
          <w:rFonts w:hint="eastAsia" w:ascii="宋体" w:hAnsi="宋体" w:eastAsia="宋体" w:cs="宋体"/>
        </w:rPr>
      </w:pPr>
      <w:r>
        <w:rPr>
          <w:rFonts w:hint="eastAsia" w:ascii="宋体" w:hAnsi="宋体" w:eastAsia="宋体" w:cs="宋体"/>
        </w:rPr>
        <w:t>码头根据与客户签署的服务协议对集装箱及散货船舶的靠离泊、集装箱及散货船舶装卸、集装箱（货物）吊运、开箱门、拆装箱、货物绑扎加固等需求进行操作服务；对客户因口岸单位要求查验的服务申请进行集装箱的吊装、搬移、装拆等操作服务。查验的主要内容包括：</w:t>
      </w:r>
    </w:p>
    <w:p>
      <w:pPr>
        <w:spacing w:line="360" w:lineRule="auto"/>
        <w:ind w:firstLine="420" w:firstLineChars="200"/>
        <w:rPr>
          <w:rFonts w:hint="eastAsia" w:ascii="宋体" w:hAnsi="宋体" w:eastAsia="宋体" w:cs="宋体"/>
        </w:rPr>
      </w:pPr>
      <w:r>
        <w:rPr>
          <w:rFonts w:hint="eastAsia" w:ascii="宋体" w:hAnsi="宋体" w:eastAsia="宋体" w:cs="宋体"/>
        </w:rPr>
        <w:t>（1）将需查验的集装箱从码头堆场转移到查验中心，查验完成后再将集装箱从查验中心转回码头堆场；</w:t>
      </w:r>
    </w:p>
    <w:p>
      <w:pPr>
        <w:spacing w:line="360" w:lineRule="auto"/>
        <w:ind w:firstLine="420" w:firstLineChars="200"/>
        <w:rPr>
          <w:rFonts w:hint="eastAsia" w:ascii="宋体" w:hAnsi="宋体" w:eastAsia="宋体" w:cs="宋体"/>
        </w:rPr>
      </w:pPr>
      <w:r>
        <w:rPr>
          <w:rFonts w:hint="eastAsia" w:ascii="宋体" w:hAnsi="宋体" w:eastAsia="宋体" w:cs="宋体"/>
        </w:rPr>
        <w:t>（2）将被海关抽中过FS6000查验的集装箱，派拖车从堆场拖至FS6000过机查验后再拖运回堆场；</w:t>
      </w:r>
    </w:p>
    <w:p>
      <w:pPr>
        <w:spacing w:line="360" w:lineRule="auto"/>
        <w:rPr>
          <w:rFonts w:hint="eastAsia" w:ascii="宋体" w:hAnsi="宋体" w:eastAsia="宋体" w:cs="宋体"/>
          <w:b/>
        </w:rPr>
      </w:pPr>
      <w:r>
        <w:rPr>
          <w:rFonts w:hint="eastAsia" w:ascii="宋体" w:hAnsi="宋体" w:eastAsia="宋体" w:cs="宋体"/>
          <w:b/>
        </w:rPr>
        <w:t>（二）人员要求</w:t>
      </w:r>
    </w:p>
    <w:p>
      <w:pPr>
        <w:spacing w:line="360" w:lineRule="auto"/>
        <w:ind w:firstLine="420" w:firstLineChars="200"/>
        <w:rPr>
          <w:rFonts w:hint="eastAsia" w:ascii="宋体" w:hAnsi="宋体" w:eastAsia="宋体" w:cs="宋体"/>
        </w:rPr>
      </w:pPr>
      <w:bookmarkStart w:id="3" w:name="_Toc351453023"/>
      <w:bookmarkStart w:id="4" w:name="_Toc354837675"/>
      <w:r>
        <w:rPr>
          <w:rFonts w:hint="eastAsia" w:ascii="宋体" w:hAnsi="宋体" w:eastAsia="宋体" w:cs="宋体"/>
        </w:rPr>
        <w:t>为</w:t>
      </w:r>
      <w:r>
        <w:rPr>
          <w:rFonts w:hint="eastAsia" w:ascii="宋体" w:hAnsi="宋体" w:eastAsia="宋体" w:cs="宋体"/>
          <w:szCs w:val="21"/>
        </w:rPr>
        <w:t>本包组</w:t>
      </w:r>
      <w:r>
        <w:rPr>
          <w:rFonts w:hint="eastAsia" w:ascii="宋体" w:hAnsi="宋体" w:eastAsia="宋体" w:cs="宋体"/>
        </w:rPr>
        <w:t>配备专职服务人员不少于15人，专职服务人员要求具备2年以上相关工作经验，具有良好的沟通能力和口头、文字表达能力和高度的责任心。项目人员不得随意变更，任何人员变更需书面提出请求，经采购人同意后方可更换。</w:t>
      </w:r>
      <w:bookmarkEnd w:id="3"/>
      <w:bookmarkEnd w:id="4"/>
    </w:p>
    <w:p>
      <w:pPr>
        <w:spacing w:line="360" w:lineRule="auto"/>
        <w:jc w:val="center"/>
        <w:rPr>
          <w:rFonts w:hint="eastAsia" w:ascii="宋体" w:hAnsi="宋体" w:eastAsia="宋体" w:cs="宋体"/>
          <w:b/>
        </w:rPr>
      </w:pPr>
      <w:r>
        <w:rPr>
          <w:rFonts w:hint="eastAsia" w:ascii="宋体" w:hAnsi="宋体" w:eastAsia="宋体" w:cs="宋体"/>
          <w:b/>
        </w:rPr>
        <w:t>包组二</w:t>
      </w:r>
      <w:r>
        <w:rPr>
          <w:rFonts w:hint="eastAsia" w:ascii="宋体" w:hAnsi="宋体" w:eastAsia="宋体" w:cs="宋体"/>
          <w:b/>
          <w:szCs w:val="21"/>
        </w:rPr>
        <w:t>（</w:t>
      </w:r>
      <w:r>
        <w:rPr>
          <w:rFonts w:hint="eastAsia" w:ascii="宋体" w:hAnsi="宋体" w:eastAsia="宋体" w:cs="宋体"/>
          <w:b/>
        </w:rPr>
        <w:t>三期码头</w:t>
      </w:r>
      <w:r>
        <w:rPr>
          <w:rFonts w:hint="eastAsia" w:ascii="宋体" w:hAnsi="宋体" w:eastAsia="宋体" w:cs="宋体"/>
          <w:b/>
          <w:szCs w:val="21"/>
        </w:rPr>
        <w:t>）</w:t>
      </w:r>
    </w:p>
    <w:p>
      <w:pPr>
        <w:numPr>
          <w:ilvl w:val="0"/>
          <w:numId w:val="0"/>
        </w:numPr>
        <w:spacing w:line="360" w:lineRule="auto"/>
        <w:ind w:leftChars="0"/>
        <w:rPr>
          <w:rFonts w:hint="eastAsia" w:ascii="宋体" w:hAnsi="宋体" w:eastAsia="宋体" w:cs="宋体"/>
          <w:b/>
        </w:rPr>
      </w:pPr>
      <w:r>
        <w:rPr>
          <w:rFonts w:hint="eastAsia" w:ascii="宋体" w:hAnsi="宋体" w:eastAsia="宋体" w:cs="宋体"/>
          <w:b/>
          <w:lang w:eastAsia="zh-CN"/>
        </w:rPr>
        <w:t>（</w:t>
      </w:r>
      <w:r>
        <w:rPr>
          <w:rFonts w:hint="eastAsia" w:ascii="宋体" w:hAnsi="宋体" w:eastAsia="宋体" w:cs="宋体"/>
          <w:b/>
          <w:lang w:val="en-US" w:eastAsia="zh-CN"/>
        </w:rPr>
        <w:t>一</w:t>
      </w:r>
      <w:r>
        <w:rPr>
          <w:rFonts w:hint="eastAsia" w:ascii="宋体" w:hAnsi="宋体" w:eastAsia="宋体" w:cs="宋体"/>
          <w:b/>
          <w:lang w:eastAsia="zh-CN"/>
        </w:rPr>
        <w:t>）</w:t>
      </w:r>
      <w:r>
        <w:rPr>
          <w:rFonts w:hint="eastAsia" w:ascii="宋体" w:hAnsi="宋体" w:eastAsia="宋体" w:cs="宋体"/>
          <w:b/>
        </w:rPr>
        <w:t>服务内容</w:t>
      </w:r>
    </w:p>
    <w:p>
      <w:pPr>
        <w:spacing w:line="360" w:lineRule="auto"/>
        <w:ind w:firstLine="420" w:firstLineChars="200"/>
        <w:rPr>
          <w:rFonts w:hint="eastAsia" w:ascii="宋体" w:hAnsi="宋体" w:eastAsia="宋体" w:cs="宋体"/>
        </w:rPr>
      </w:pPr>
      <w:r>
        <w:rPr>
          <w:rFonts w:hint="eastAsia" w:ascii="宋体" w:hAnsi="宋体" w:eastAsia="宋体" w:cs="宋体"/>
        </w:rPr>
        <w:t>码头根据与客户签署的服务协议对集装箱及散货船舶的靠离泊、集装箱及散货船舶装卸、集装箱（货物）吊运、开箱门、拆装箱、货物绑扎加固等需求进行操作服务；对客户因口岸单位要求查验的服务申请进行集装箱的吊装、搬移、装拆等操作服务。查验的主要内容包括：</w:t>
      </w:r>
    </w:p>
    <w:p>
      <w:pPr>
        <w:spacing w:line="360" w:lineRule="auto"/>
        <w:ind w:firstLine="420" w:firstLineChars="200"/>
        <w:rPr>
          <w:rFonts w:hint="eastAsia" w:ascii="宋体" w:hAnsi="宋体" w:eastAsia="宋体" w:cs="宋体"/>
        </w:rPr>
      </w:pPr>
      <w:r>
        <w:rPr>
          <w:rFonts w:hint="eastAsia" w:ascii="宋体" w:hAnsi="宋体" w:eastAsia="宋体" w:cs="宋体"/>
        </w:rPr>
        <w:t>（1）将需查验的集装箱从码头堆场转移到查验中心，查验完成后再将集装箱从查验中心转回码头堆场；</w:t>
      </w:r>
    </w:p>
    <w:p>
      <w:pPr>
        <w:spacing w:line="360" w:lineRule="auto"/>
        <w:ind w:firstLine="420" w:firstLineChars="200"/>
        <w:rPr>
          <w:rFonts w:hint="eastAsia" w:ascii="宋体" w:hAnsi="宋体" w:eastAsia="宋体" w:cs="宋体"/>
        </w:rPr>
      </w:pPr>
      <w:r>
        <w:rPr>
          <w:rFonts w:hint="eastAsia" w:ascii="宋体" w:hAnsi="宋体" w:eastAsia="宋体" w:cs="宋体"/>
        </w:rPr>
        <w:t>（2）将被海关抽中过FS6000查验的集装箱，派拖车从堆场拖至FS6000过机查验后再拖运回堆场；</w:t>
      </w:r>
    </w:p>
    <w:p>
      <w:pPr>
        <w:spacing w:line="360" w:lineRule="auto"/>
        <w:rPr>
          <w:rFonts w:hint="eastAsia" w:ascii="宋体" w:hAnsi="宋体" w:eastAsia="宋体" w:cs="宋体"/>
          <w:b/>
        </w:rPr>
      </w:pPr>
      <w:r>
        <w:rPr>
          <w:rFonts w:hint="eastAsia" w:ascii="宋体" w:hAnsi="宋体" w:eastAsia="宋体" w:cs="宋体"/>
          <w:b/>
        </w:rPr>
        <w:t xml:space="preserve">（二）人员要求 </w:t>
      </w:r>
    </w:p>
    <w:p>
      <w:pPr>
        <w:spacing w:line="360" w:lineRule="auto"/>
        <w:ind w:firstLine="420" w:firstLineChars="200"/>
        <w:rPr>
          <w:rFonts w:hint="eastAsia" w:ascii="宋体" w:hAnsi="宋体" w:eastAsia="宋体" w:cs="宋体"/>
        </w:rPr>
      </w:pPr>
      <w:r>
        <w:rPr>
          <w:rFonts w:hint="eastAsia" w:ascii="宋体" w:hAnsi="宋体" w:eastAsia="宋体" w:cs="宋体"/>
        </w:rPr>
        <w:t>为</w:t>
      </w:r>
      <w:r>
        <w:rPr>
          <w:rFonts w:hint="eastAsia" w:ascii="宋体" w:hAnsi="宋体" w:eastAsia="宋体" w:cs="宋体"/>
          <w:szCs w:val="21"/>
        </w:rPr>
        <w:t>本包组</w:t>
      </w:r>
      <w:r>
        <w:rPr>
          <w:rFonts w:hint="eastAsia" w:ascii="宋体" w:hAnsi="宋体" w:eastAsia="宋体" w:cs="宋体"/>
        </w:rPr>
        <w:t>配备专职服务人员不少于15人，专职服务人员要求具备2年以上相关工作经验，具有良好的沟通能力和口头、文字表达能力和高度的责任心。项目人员不得随意变更，任何人员变更需书面提出请求，经采购人同意后方可更换。</w:t>
      </w:r>
    </w:p>
    <w:p>
      <w:pPr>
        <w:spacing w:line="360" w:lineRule="auto"/>
        <w:jc w:val="center"/>
        <w:rPr>
          <w:rFonts w:hint="eastAsia" w:ascii="宋体" w:hAnsi="宋体" w:eastAsia="宋体" w:cs="宋体"/>
          <w:b/>
        </w:rPr>
      </w:pPr>
      <w:r>
        <w:rPr>
          <w:rFonts w:hint="eastAsia" w:ascii="宋体" w:hAnsi="宋体" w:eastAsia="宋体" w:cs="宋体"/>
          <w:b/>
        </w:rPr>
        <w:t>包组三</w:t>
      </w:r>
      <w:r>
        <w:rPr>
          <w:rFonts w:hint="eastAsia" w:ascii="宋体" w:hAnsi="宋体" w:eastAsia="宋体" w:cs="宋体"/>
          <w:b/>
          <w:szCs w:val="21"/>
        </w:rPr>
        <w:t>（南伟码头）</w:t>
      </w:r>
    </w:p>
    <w:p>
      <w:pPr>
        <w:numPr>
          <w:ilvl w:val="0"/>
          <w:numId w:val="3"/>
        </w:numPr>
        <w:spacing w:line="360" w:lineRule="auto"/>
        <w:rPr>
          <w:rFonts w:hint="eastAsia" w:ascii="宋体" w:hAnsi="宋体" w:eastAsia="宋体" w:cs="宋体"/>
          <w:b/>
        </w:rPr>
      </w:pPr>
      <w:r>
        <w:rPr>
          <w:rFonts w:hint="eastAsia" w:ascii="宋体" w:hAnsi="宋体" w:eastAsia="宋体" w:cs="宋体"/>
          <w:b/>
        </w:rPr>
        <w:t>服务内容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针对停靠、存储在广州市南沙港南伟码头的集装箱货物，根据海关查验的要求，从堆场用正面吊装上拖车，拖运到查验场，用正面吊把集装箱卸下查验场，用叉车及人手掏箱、搬货、把货物放在堆场或仓库，待海关查完货后，再把货物装回集装箱，用正面吊把集装箱装上拖车运到堆场卸车堆放。配合查验工作将产生吊装箱费、移箱费、拆装箱费、仓储费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海关查验需要过磅时，用正面吊把集装箱装上拖车运到地磅过磅，过磅后拖回堆场用正面吊卸下。过磅工作产生吊装箱费，过磅操作费等。</w:t>
      </w:r>
    </w:p>
    <w:p>
      <w:pPr>
        <w:numPr>
          <w:ilvl w:val="0"/>
          <w:numId w:val="3"/>
        </w:numPr>
        <w:spacing w:line="360" w:lineRule="auto"/>
        <w:rPr>
          <w:rFonts w:hint="eastAsia" w:ascii="宋体" w:hAnsi="宋体" w:eastAsia="宋体" w:cs="宋体"/>
          <w:b/>
          <w:szCs w:val="21"/>
        </w:rPr>
      </w:pPr>
      <w:r>
        <w:rPr>
          <w:rFonts w:hint="eastAsia" w:ascii="宋体" w:hAnsi="宋体" w:eastAsia="宋体" w:cs="宋体"/>
          <w:b/>
          <w:szCs w:val="21"/>
        </w:rPr>
        <w:t xml:space="preserve">人员要求 </w:t>
      </w:r>
    </w:p>
    <w:p>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为本包组配备专职服务人员不少于8人，专职服务人员要求具备2年以上相关工作经验，具有良好的沟通能力和口头、文字表达能力和高度的责任心。项目人员不得随意变更，任何人员变更需书面提出请求，经采购人同意后方可更换。</w:t>
      </w:r>
    </w:p>
    <w:p>
      <w:pPr>
        <w:spacing w:line="360" w:lineRule="auto"/>
        <w:jc w:val="center"/>
        <w:rPr>
          <w:rFonts w:hint="eastAsia" w:ascii="宋体" w:hAnsi="宋体" w:eastAsia="宋体" w:cs="宋体"/>
          <w:b/>
        </w:rPr>
      </w:pPr>
      <w:r>
        <w:rPr>
          <w:rFonts w:hint="eastAsia" w:ascii="宋体" w:hAnsi="宋体" w:eastAsia="宋体" w:cs="宋体"/>
          <w:b/>
        </w:rPr>
        <w:t>包组四</w:t>
      </w:r>
      <w:r>
        <w:rPr>
          <w:rFonts w:hint="eastAsia" w:ascii="宋体" w:hAnsi="宋体" w:eastAsia="宋体" w:cs="宋体"/>
          <w:b/>
          <w:szCs w:val="21"/>
        </w:rPr>
        <w:t>（集中查验中心）</w:t>
      </w:r>
    </w:p>
    <w:p>
      <w:pPr>
        <w:numPr>
          <w:ilvl w:val="0"/>
          <w:numId w:val="4"/>
        </w:numPr>
        <w:spacing w:line="360" w:lineRule="auto"/>
        <w:rPr>
          <w:rFonts w:hint="eastAsia" w:ascii="宋体" w:hAnsi="宋体" w:eastAsia="宋体" w:cs="宋体"/>
          <w:b/>
        </w:rPr>
      </w:pPr>
      <w:r>
        <w:rPr>
          <w:rFonts w:hint="eastAsia" w:ascii="宋体" w:hAnsi="宋体" w:eastAsia="宋体" w:cs="宋体"/>
          <w:b/>
        </w:rPr>
        <w:t>服务内容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广州港南沙港区集中查验中心位于南沙区龙穴岛南沙港区一期、二期码头之间，是海关、边检对南沙港区进出口货物集中查验的场所，占地面积17.3万平方米。</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（一）服务工作内容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1、根据海关的指令，查验中心负责安排机械、人员对需要查验的货柜进行吊装、移位等操作，并安排劳务工人对查验货物进行装拆操作。</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2、提供口岸通关、查验咨询服务。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3、与码头之间做好集装箱的移箱和返场计划的实施、协调、跟踪。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4、负责查验单证的录入、整理、归挡。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（二）服务工作要求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1、接收海关的指令，对需要查验的货柜，按指令要求按时按质完成查验操作，包括场内集装箱搬移、吊装、装卸等。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2、对不同的货类和装拆要求将查验货柜摆放在不同的查验区域。</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3、根据口岸部门的指令，安排工人按要求及时做好货物的装拆，配合口岸部门查验。</w:t>
      </w:r>
    </w:p>
    <w:p>
      <w:pPr>
        <w:spacing w:line="360" w:lineRule="auto"/>
        <w:rPr>
          <w:rFonts w:hint="eastAsia" w:ascii="宋体" w:hAnsi="宋体" w:eastAsia="宋体" w:cs="宋体"/>
          <w:b/>
        </w:rPr>
      </w:pPr>
      <w:r>
        <w:rPr>
          <w:rFonts w:hint="eastAsia" w:ascii="宋体" w:hAnsi="宋体" w:eastAsia="宋体" w:cs="宋体"/>
          <w:b/>
        </w:rPr>
        <w:t>（二）人员要求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为本包组配备专职服务人员不少于50人，专职服务人员要求具备2年以上相关工作经验，具有良好的沟通能力和口头、文字表达能力和高度的责任心。项目人员不得随意变更，任何人员变更需书面提出请求，经采购人同意后方可更换。 </w:t>
      </w:r>
    </w:p>
    <w:p>
      <w:pPr>
        <w:spacing w:line="360" w:lineRule="auto"/>
        <w:jc w:val="center"/>
        <w:rPr>
          <w:rFonts w:hint="eastAsia" w:ascii="宋体" w:hAnsi="宋体" w:eastAsia="宋体" w:cs="宋体"/>
          <w:b/>
        </w:rPr>
      </w:pPr>
      <w:r>
        <w:rPr>
          <w:rFonts w:hint="eastAsia" w:ascii="宋体" w:hAnsi="宋体" w:eastAsia="宋体" w:cs="宋体"/>
          <w:b/>
          <w:color w:val="000000"/>
        </w:rPr>
        <w:t>包组五</w:t>
      </w:r>
      <w:r>
        <w:rPr>
          <w:rFonts w:hint="eastAsia" w:ascii="宋体" w:hAnsi="宋体" w:eastAsia="宋体" w:cs="宋体"/>
          <w:b/>
          <w:szCs w:val="21"/>
        </w:rPr>
        <w:t>（</w:t>
      </w:r>
      <w:r>
        <w:rPr>
          <w:rFonts w:hint="eastAsia" w:ascii="宋体" w:hAnsi="宋体" w:eastAsia="宋体" w:cs="宋体"/>
          <w:b/>
          <w:szCs w:val="21"/>
          <w:lang w:val="en-US" w:eastAsia="zh-CN"/>
        </w:rPr>
        <w:t>货运码头</w:t>
      </w:r>
      <w:r>
        <w:rPr>
          <w:rFonts w:hint="eastAsia" w:ascii="宋体" w:hAnsi="宋体" w:eastAsia="宋体" w:cs="宋体"/>
          <w:b/>
          <w:szCs w:val="21"/>
        </w:rPr>
        <w:t>）</w:t>
      </w:r>
    </w:p>
    <w:p>
      <w:pPr>
        <w:numPr>
          <w:ilvl w:val="0"/>
          <w:numId w:val="5"/>
        </w:numPr>
        <w:spacing w:line="360" w:lineRule="auto"/>
        <w:rPr>
          <w:rFonts w:hint="eastAsia" w:ascii="宋体" w:hAnsi="宋体" w:eastAsia="宋体" w:cs="宋体"/>
          <w:b/>
        </w:rPr>
      </w:pPr>
      <w:r>
        <w:rPr>
          <w:rFonts w:hint="eastAsia" w:ascii="宋体" w:hAnsi="宋体" w:eastAsia="宋体" w:cs="宋体"/>
          <w:b/>
        </w:rPr>
        <w:t>服务内容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针对停靠、存储在广州市南沙港</w:t>
      </w:r>
      <w:r>
        <w:rPr>
          <w:rFonts w:hint="eastAsia" w:ascii="宋体" w:hAnsi="宋体" w:eastAsia="宋体" w:cs="宋体"/>
          <w:szCs w:val="21"/>
          <w:lang w:val="en-US" w:eastAsia="zh-CN"/>
        </w:rPr>
        <w:t>货运实业</w:t>
      </w:r>
      <w:r>
        <w:rPr>
          <w:rFonts w:hint="eastAsia" w:ascii="宋体" w:hAnsi="宋体" w:eastAsia="宋体" w:cs="宋体"/>
          <w:szCs w:val="21"/>
        </w:rPr>
        <w:t>码头的集装箱货物，根据海关查验的要求，从堆场用正面吊装上拖车，拖运到查验场，用正面吊把集装箱卸下查验场，用叉车及人手掏箱、搬货、把货物放在堆场或仓库，待海关查完货后，再把货物装回集装箱，用正面吊把集装箱装上拖车运到堆场卸车堆放。配合查验工作将产生吊装箱费、移箱费、拆装箱费、仓储费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海关查验需要过磅时，用正面吊把集装箱装上拖车运到地磅过磅，过磅后拖回堆场用正面吊卸下。过磅工作产生吊装箱费，过磅操作费等。</w:t>
      </w:r>
    </w:p>
    <w:p>
      <w:pPr>
        <w:spacing w:line="360" w:lineRule="auto"/>
        <w:rPr>
          <w:rFonts w:hint="eastAsia" w:ascii="宋体" w:hAnsi="宋体" w:eastAsia="宋体" w:cs="宋体"/>
          <w:b/>
        </w:rPr>
      </w:pPr>
      <w:r>
        <w:rPr>
          <w:rFonts w:hint="eastAsia" w:ascii="宋体" w:hAnsi="宋体" w:eastAsia="宋体" w:cs="宋体"/>
          <w:b/>
        </w:rPr>
        <w:t>（二）人员要求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本包组配备专职服务人员不少于8人，专职服务人员要求具备2年以上相关工作经验，具有良好的沟通能力和口头、文字表达能力和高度的责任心。项目人员不得随意变更，任何人员变更需书面提出请求，经采购人同意后方可更换。</w:t>
      </w:r>
    </w:p>
    <w:p>
      <w:pPr>
        <w:spacing w:line="360" w:lineRule="auto"/>
        <w:jc w:val="center"/>
        <w:rPr>
          <w:rFonts w:hint="eastAsia" w:ascii="宋体" w:hAnsi="宋体" w:eastAsia="宋体" w:cs="宋体"/>
          <w:b/>
          <w:color w:val="000000"/>
        </w:rPr>
      </w:pPr>
      <w:r>
        <w:rPr>
          <w:rFonts w:hint="eastAsia" w:ascii="宋体" w:hAnsi="宋体" w:eastAsia="宋体" w:cs="宋体"/>
          <w:b/>
          <w:color w:val="000000"/>
        </w:rPr>
        <w:t>包组</w:t>
      </w:r>
      <w:r>
        <w:rPr>
          <w:rFonts w:hint="eastAsia" w:ascii="宋体" w:hAnsi="宋体" w:eastAsia="宋体" w:cs="宋体"/>
          <w:b/>
          <w:color w:val="000000"/>
          <w:lang w:val="en-US" w:eastAsia="zh-CN"/>
        </w:rPr>
        <w:t>六</w:t>
      </w:r>
      <w:r>
        <w:rPr>
          <w:rFonts w:hint="eastAsia" w:ascii="宋体" w:hAnsi="宋体" w:eastAsia="宋体" w:cs="宋体"/>
          <w:b/>
          <w:color w:val="000000"/>
          <w:szCs w:val="21"/>
        </w:rPr>
        <w:t>（集中查验中心冷</w:t>
      </w:r>
      <w:r>
        <w:rPr>
          <w:rFonts w:hint="eastAsia" w:ascii="宋体" w:hAnsi="宋体" w:eastAsia="宋体" w:cs="宋体"/>
          <w:b/>
          <w:color w:val="000000"/>
          <w:szCs w:val="21"/>
          <w:lang w:val="en-US" w:eastAsia="zh-CN"/>
        </w:rPr>
        <w:t>冻</w:t>
      </w:r>
      <w:r>
        <w:rPr>
          <w:rFonts w:hint="eastAsia" w:ascii="宋体" w:hAnsi="宋体" w:eastAsia="宋体" w:cs="宋体"/>
          <w:b/>
          <w:color w:val="000000"/>
          <w:szCs w:val="21"/>
        </w:rPr>
        <w:t>类）</w:t>
      </w:r>
    </w:p>
    <w:p>
      <w:pPr>
        <w:numPr>
          <w:ilvl w:val="0"/>
          <w:numId w:val="0"/>
        </w:numPr>
        <w:spacing w:line="360" w:lineRule="auto"/>
        <w:ind w:leftChars="0"/>
        <w:rPr>
          <w:rFonts w:hint="eastAsia" w:ascii="宋体" w:hAnsi="宋体" w:eastAsia="宋体" w:cs="宋体"/>
          <w:b/>
        </w:rPr>
      </w:pPr>
      <w:r>
        <w:rPr>
          <w:rFonts w:hint="eastAsia" w:ascii="宋体" w:hAnsi="宋体" w:eastAsia="宋体" w:cs="宋体"/>
          <w:b/>
          <w:lang w:eastAsia="zh-CN"/>
        </w:rPr>
        <w:t>（</w:t>
      </w:r>
      <w:r>
        <w:rPr>
          <w:rFonts w:hint="eastAsia" w:ascii="宋体" w:hAnsi="宋体" w:eastAsia="宋体" w:cs="宋体"/>
          <w:b/>
          <w:lang w:val="en-US" w:eastAsia="zh-CN"/>
        </w:rPr>
        <w:t>一</w:t>
      </w:r>
      <w:r>
        <w:rPr>
          <w:rFonts w:hint="eastAsia" w:ascii="宋体" w:hAnsi="宋体" w:eastAsia="宋体" w:cs="宋体"/>
          <w:b/>
          <w:lang w:eastAsia="zh-CN"/>
        </w:rPr>
        <w:t>）</w:t>
      </w:r>
      <w:r>
        <w:rPr>
          <w:rFonts w:hint="eastAsia" w:ascii="宋体" w:hAnsi="宋体" w:eastAsia="宋体" w:cs="宋体"/>
          <w:b/>
        </w:rPr>
        <w:t>服务内容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安排海关要求查验的货物车辆停靠查验平台，并根据海关的要求打开集装箱，使用机械或人工将货物从集装箱搬出放在查验平台上，待海关查验货物完毕后，再将货物装回集装箱，关闭集装箱。</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配合海关的要求，对进</w:t>
      </w:r>
      <w:r>
        <w:rPr>
          <w:rFonts w:hint="eastAsia" w:ascii="宋体" w:hAnsi="宋体" w:eastAsia="宋体" w:cs="宋体"/>
          <w:szCs w:val="21"/>
          <w:lang w:eastAsia="zh-CN"/>
        </w:rPr>
        <w:t>出</w:t>
      </w:r>
      <w:r>
        <w:rPr>
          <w:rFonts w:hint="eastAsia" w:ascii="宋体" w:hAnsi="宋体" w:eastAsia="宋体" w:cs="宋体"/>
          <w:szCs w:val="21"/>
        </w:rPr>
        <w:t>口冷冻水果和普通食品品类</w:t>
      </w:r>
      <w:r>
        <w:rPr>
          <w:rFonts w:hint="eastAsia" w:ascii="宋体" w:hAnsi="宋体" w:eastAsia="宋体" w:cs="宋体"/>
          <w:szCs w:val="21"/>
          <w:lang w:eastAsia="zh-CN"/>
        </w:rPr>
        <w:t>等</w:t>
      </w:r>
      <w:r>
        <w:rPr>
          <w:rFonts w:hint="eastAsia" w:ascii="宋体" w:hAnsi="宋体" w:eastAsia="宋体" w:cs="宋体"/>
          <w:szCs w:val="21"/>
        </w:rPr>
        <w:t>货物实施现场查验服务工作。</w:t>
      </w:r>
    </w:p>
    <w:p>
      <w:pPr>
        <w:spacing w:line="360" w:lineRule="auto"/>
        <w:rPr>
          <w:rFonts w:hint="eastAsia" w:ascii="宋体" w:hAnsi="宋体" w:eastAsia="宋体" w:cs="宋体"/>
          <w:b/>
        </w:rPr>
      </w:pPr>
      <w:r>
        <w:rPr>
          <w:rFonts w:hint="eastAsia" w:ascii="宋体" w:hAnsi="宋体" w:eastAsia="宋体" w:cs="宋体"/>
          <w:b/>
        </w:rPr>
        <w:t>（二）人员要求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为本</w:t>
      </w:r>
      <w:r>
        <w:rPr>
          <w:rFonts w:hint="eastAsia" w:ascii="宋体" w:hAnsi="宋体" w:eastAsia="宋体" w:cs="宋体"/>
          <w:szCs w:val="21"/>
          <w:lang w:val="en-US" w:eastAsia="zh-CN"/>
        </w:rPr>
        <w:t>包组</w:t>
      </w:r>
      <w:r>
        <w:rPr>
          <w:rFonts w:hint="eastAsia" w:ascii="宋体" w:hAnsi="宋体" w:eastAsia="宋体" w:cs="宋体"/>
          <w:szCs w:val="21"/>
        </w:rPr>
        <w:t>配备专职服务人员不少于8人，专职服务人员要求具备2年以上相关工作经验，具有良好的沟通能力和口头、文字表达能力和高度的责任心。项目人员不得随意变更，任何人员变更需书面提出请求，经采购人同意后方可更换。</w:t>
      </w:r>
    </w:p>
    <w:p>
      <w:pPr>
        <w:numPr>
          <w:ilvl w:val="0"/>
          <w:numId w:val="1"/>
        </w:numPr>
        <w:tabs>
          <w:tab w:val="left" w:pos="525"/>
          <w:tab w:val="left" w:pos="846"/>
        </w:tabs>
        <w:autoSpaceDE w:val="0"/>
        <w:autoSpaceDN w:val="0"/>
        <w:adjustRightInd w:val="0"/>
        <w:snapToGrid w:val="0"/>
        <w:spacing w:line="360" w:lineRule="auto"/>
        <w:ind w:left="420"/>
        <w:outlineLvl w:val="1"/>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商务要求</w:t>
      </w:r>
    </w:p>
    <w:p>
      <w:pPr>
        <w:numPr>
          <w:ilvl w:val="0"/>
          <w:numId w:val="0"/>
        </w:numPr>
        <w:spacing w:line="360" w:lineRule="auto"/>
        <w:ind w:leftChars="0"/>
        <w:rPr>
          <w:rFonts w:hint="eastAsia" w:ascii="宋体" w:hAnsi="宋体" w:eastAsia="宋体" w:cs="宋体"/>
          <w:b/>
          <w:bCs/>
          <w:color w:val="000000"/>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一</w:t>
      </w:r>
      <w:r>
        <w:rPr>
          <w:rFonts w:hint="eastAsia" w:ascii="宋体" w:hAnsi="宋体" w:cs="宋体"/>
          <w:b/>
          <w:bCs/>
          <w:color w:val="000000"/>
          <w:szCs w:val="21"/>
          <w:highlight w:val="none"/>
          <w:lang w:eastAsia="zh-CN"/>
        </w:rPr>
        <w:t>）</w:t>
      </w:r>
      <w:r>
        <w:rPr>
          <w:rFonts w:hint="eastAsia" w:ascii="宋体" w:hAnsi="宋体" w:eastAsia="宋体" w:cs="宋体"/>
          <w:b/>
          <w:bCs/>
          <w:color w:val="000000"/>
          <w:szCs w:val="21"/>
          <w:highlight w:val="none"/>
        </w:rPr>
        <w:t>付款</w:t>
      </w:r>
      <w:r>
        <w:rPr>
          <w:rFonts w:hint="eastAsia" w:ascii="宋体" w:hAnsi="宋体" w:eastAsia="宋体" w:cs="宋体"/>
          <w:b/>
          <w:bCs/>
          <w:color w:val="000000"/>
          <w:highlight w:val="none"/>
        </w:rPr>
        <w:t>方式</w:t>
      </w:r>
    </w:p>
    <w:p>
      <w:pPr>
        <w:tabs>
          <w:tab w:val="left" w:pos="988"/>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按实结算。合同签订</w:t>
      </w:r>
      <w:bookmarkStart w:id="5" w:name="_GoBack"/>
      <w:bookmarkEnd w:id="5"/>
      <w:r>
        <w:rPr>
          <w:rFonts w:hint="eastAsia" w:ascii="宋体" w:hAnsi="宋体" w:eastAsia="宋体" w:cs="宋体"/>
          <w:color w:val="000000"/>
          <w:szCs w:val="21"/>
          <w:highlight w:val="none"/>
        </w:rPr>
        <w:t>后，采购人</w:t>
      </w:r>
      <w:r>
        <w:rPr>
          <w:rFonts w:hint="eastAsia" w:ascii="宋体" w:hAnsi="宋体" w:eastAsia="宋体" w:cs="宋体"/>
          <w:color w:val="000000"/>
          <w:szCs w:val="21"/>
          <w:highlight w:val="none"/>
          <w:lang w:val="en-US" w:eastAsia="zh-CN"/>
        </w:rPr>
        <w:t>根据</w:t>
      </w:r>
      <w:r>
        <w:rPr>
          <w:rFonts w:hint="eastAsia" w:ascii="宋体" w:hAnsi="宋体" w:eastAsia="宋体" w:cs="宋体"/>
          <w:color w:val="000000"/>
          <w:szCs w:val="21"/>
          <w:highlight w:val="none"/>
        </w:rPr>
        <w:t>海关部门核准的查验无问题的集装箱查验服务相关费用的支付申请手续。成交供应商须按支付的金额开具发票，并承担由此产生的一切税金。</w:t>
      </w:r>
    </w:p>
    <w:p>
      <w:pPr>
        <w:numPr>
          <w:ilvl w:val="0"/>
          <w:numId w:val="0"/>
        </w:numPr>
        <w:spacing w:line="360" w:lineRule="auto"/>
        <w:ind w:leftChars="0"/>
        <w:rPr>
          <w:rFonts w:hint="eastAsia" w:ascii="宋体" w:hAnsi="宋体" w:eastAsia="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eastAsia="宋体" w:cs="宋体"/>
          <w:b/>
          <w:bCs/>
          <w:color w:val="000000"/>
          <w:szCs w:val="21"/>
          <w:highlight w:val="none"/>
        </w:rPr>
        <w:t>其他说明</w:t>
      </w:r>
    </w:p>
    <w:p>
      <w:pPr>
        <w:tabs>
          <w:tab w:val="left" w:pos="988"/>
        </w:tabs>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合同终止：如合同执行期间与国家新政策或规定不符，则经双方协商一致后做相应的调整，协商不成即终止。</w:t>
      </w: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B2F67"/>
    <w:multiLevelType w:val="multilevel"/>
    <w:tmpl w:val="01AB2F6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4435CA"/>
    <w:multiLevelType w:val="multilevel"/>
    <w:tmpl w:val="2E4435C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6003D4"/>
    <w:multiLevelType w:val="multilevel"/>
    <w:tmpl w:val="516003D4"/>
    <w:lvl w:ilvl="0" w:tentative="0">
      <w:start w:val="1"/>
      <w:numFmt w:val="japaneseCounting"/>
      <w:lvlText w:val="%1、"/>
      <w:lvlJc w:val="left"/>
      <w:pPr>
        <w:tabs>
          <w:tab w:val="left" w:pos="3398"/>
        </w:tabs>
        <w:ind w:left="3296" w:hanging="420"/>
      </w:pPr>
      <w:rPr>
        <w:rFonts w:hint="default"/>
        <w:b/>
      </w:rPr>
    </w:lvl>
    <w:lvl w:ilvl="1" w:tentative="0">
      <w:start w:val="1"/>
      <w:numFmt w:val="decimal"/>
      <w:lvlText w:val="%2、"/>
      <w:lvlJc w:val="left"/>
      <w:pPr>
        <w:tabs>
          <w:tab w:val="left" w:pos="426"/>
        </w:tabs>
        <w:ind w:left="324" w:firstLine="0"/>
      </w:pPr>
      <w:rPr>
        <w:rFonts w:ascii="宋体" w:hAnsi="宋体" w:eastAsia="宋体" w:cs="Times New Roman"/>
        <w:b w:val="0"/>
      </w:rPr>
    </w:lvl>
    <w:lvl w:ilvl="2" w:tentative="0">
      <w:start w:val="1"/>
      <w:numFmt w:val="decimal"/>
      <w:lvlText w:val="（%3）"/>
      <w:lvlJc w:val="left"/>
      <w:pPr>
        <w:tabs>
          <w:tab w:val="left" w:pos="943"/>
        </w:tabs>
        <w:ind w:left="1261" w:hanging="420"/>
      </w:pPr>
      <w:rPr>
        <w:rFonts w:hint="eastAsia"/>
        <w:b w:val="0"/>
      </w:rPr>
    </w:lvl>
    <w:lvl w:ilvl="3" w:tentative="0">
      <w:start w:val="1"/>
      <w:numFmt w:val="upperLetter"/>
      <w:lvlText w:val="%4、"/>
      <w:lvlJc w:val="left"/>
      <w:pPr>
        <w:ind w:left="1621" w:hanging="360"/>
      </w:pPr>
      <w:rPr>
        <w:rFonts w:hint="default"/>
      </w:rPr>
    </w:lvl>
    <w:lvl w:ilvl="4" w:tentative="0">
      <w:start w:val="1"/>
      <w:numFmt w:val="lowerLetter"/>
      <w:lvlText w:val="%5)"/>
      <w:lvlJc w:val="left"/>
      <w:pPr>
        <w:tabs>
          <w:tab w:val="left" w:pos="2203"/>
        </w:tabs>
        <w:ind w:left="2101" w:hanging="420"/>
      </w:pPr>
    </w:lvl>
    <w:lvl w:ilvl="5" w:tentative="0">
      <w:start w:val="1"/>
      <w:numFmt w:val="lowerRoman"/>
      <w:lvlText w:val="%6."/>
      <w:lvlJc w:val="right"/>
      <w:pPr>
        <w:tabs>
          <w:tab w:val="left" w:pos="2623"/>
        </w:tabs>
        <w:ind w:left="2521" w:hanging="420"/>
      </w:pPr>
    </w:lvl>
    <w:lvl w:ilvl="6" w:tentative="0">
      <w:start w:val="1"/>
      <w:numFmt w:val="decimal"/>
      <w:lvlText w:val="%7."/>
      <w:lvlJc w:val="left"/>
      <w:pPr>
        <w:tabs>
          <w:tab w:val="left" w:pos="3043"/>
        </w:tabs>
        <w:ind w:left="2941" w:hanging="420"/>
      </w:pPr>
    </w:lvl>
    <w:lvl w:ilvl="7" w:tentative="0">
      <w:start w:val="1"/>
      <w:numFmt w:val="lowerLetter"/>
      <w:lvlText w:val="%8)"/>
      <w:lvlJc w:val="left"/>
      <w:pPr>
        <w:tabs>
          <w:tab w:val="left" w:pos="3463"/>
        </w:tabs>
        <w:ind w:left="3361" w:hanging="420"/>
      </w:pPr>
    </w:lvl>
    <w:lvl w:ilvl="8" w:tentative="0">
      <w:start w:val="1"/>
      <w:numFmt w:val="lowerRoman"/>
      <w:lvlText w:val="%9."/>
      <w:lvlJc w:val="right"/>
      <w:pPr>
        <w:tabs>
          <w:tab w:val="left" w:pos="3883"/>
        </w:tabs>
        <w:ind w:left="3781" w:hanging="420"/>
      </w:pPr>
    </w:lvl>
  </w:abstractNum>
  <w:abstractNum w:abstractNumId="3">
    <w:nsid w:val="53DD7CF9"/>
    <w:multiLevelType w:val="multilevel"/>
    <w:tmpl w:val="53DD7CF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BE028D"/>
    <w:multiLevelType w:val="multilevel"/>
    <w:tmpl w:val="7BBE02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771D9"/>
    <w:rsid w:val="000B0EA0"/>
    <w:rsid w:val="000E13C6"/>
    <w:rsid w:val="001C5356"/>
    <w:rsid w:val="002B3517"/>
    <w:rsid w:val="0035655B"/>
    <w:rsid w:val="0047229C"/>
    <w:rsid w:val="004F4F7A"/>
    <w:rsid w:val="00653F47"/>
    <w:rsid w:val="007918A7"/>
    <w:rsid w:val="007E6A14"/>
    <w:rsid w:val="007F55A5"/>
    <w:rsid w:val="00831D10"/>
    <w:rsid w:val="009D39E4"/>
    <w:rsid w:val="00CF32DE"/>
    <w:rsid w:val="00D90BAA"/>
    <w:rsid w:val="00DA50DB"/>
    <w:rsid w:val="00DA64D5"/>
    <w:rsid w:val="00EC493A"/>
    <w:rsid w:val="00F115D9"/>
    <w:rsid w:val="00F422EB"/>
    <w:rsid w:val="013B4944"/>
    <w:rsid w:val="02B56978"/>
    <w:rsid w:val="03F67248"/>
    <w:rsid w:val="0A314B36"/>
    <w:rsid w:val="124961A5"/>
    <w:rsid w:val="139879D4"/>
    <w:rsid w:val="190049F3"/>
    <w:rsid w:val="1A3B730B"/>
    <w:rsid w:val="1C580648"/>
    <w:rsid w:val="1F0E718B"/>
    <w:rsid w:val="27893DAB"/>
    <w:rsid w:val="2B1C4F36"/>
    <w:rsid w:val="2BC45593"/>
    <w:rsid w:val="2DA85D21"/>
    <w:rsid w:val="33704071"/>
    <w:rsid w:val="33C45B35"/>
    <w:rsid w:val="35806A5C"/>
    <w:rsid w:val="383733B0"/>
    <w:rsid w:val="3A9C6232"/>
    <w:rsid w:val="41973E8F"/>
    <w:rsid w:val="45450480"/>
    <w:rsid w:val="47743CD8"/>
    <w:rsid w:val="496F29A9"/>
    <w:rsid w:val="4FCB2904"/>
    <w:rsid w:val="519B6306"/>
    <w:rsid w:val="60E10221"/>
    <w:rsid w:val="638771D9"/>
    <w:rsid w:val="669730E8"/>
    <w:rsid w:val="725C3E59"/>
    <w:rsid w:val="7C5F7238"/>
    <w:rsid w:val="7E53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semiHidden/>
    <w:unhideWhenUsed/>
    <w:qFormat/>
    <w:uiPriority w:val="99"/>
    <w:pPr>
      <w:adjustRightInd w:val="0"/>
      <w:snapToGrid w:val="0"/>
      <w:spacing w:line="560" w:lineRule="exact"/>
      <w:ind w:firstLine="800" w:firstLineChars="200"/>
    </w:pPr>
    <w:rPr>
      <w:rFonts w:ascii="宋体" w:hAnsi="宋体"/>
      <w:sz w:val="32"/>
      <w:szCs w:val="32"/>
    </w:rPr>
  </w:style>
  <w:style w:type="paragraph" w:styleId="4">
    <w:name w:val="annotation text"/>
    <w:basedOn w:val="1"/>
    <w:link w:val="14"/>
    <w:qFormat/>
    <w:uiPriority w:val="0"/>
    <w:pPr>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5"/>
    <w:qFormat/>
    <w:uiPriority w:val="0"/>
    <w:rPr>
      <w:b/>
      <w:bCs/>
    </w:rPr>
  </w:style>
  <w:style w:type="character" w:styleId="10">
    <w:name w:val="annotation reference"/>
    <w:semiHidden/>
    <w:qFormat/>
    <w:uiPriority w:val="99"/>
    <w:rPr>
      <w:sz w:val="21"/>
      <w:szCs w:val="21"/>
    </w:rPr>
  </w:style>
  <w:style w:type="paragraph" w:customStyle="1" w:styleId="11">
    <w:name w:val="表格文字"/>
    <w:basedOn w:val="1"/>
    <w:qFormat/>
    <w:uiPriority w:val="0"/>
    <w:pPr>
      <w:spacing w:before="25" w:after="25"/>
      <w:jc w:val="left"/>
    </w:pPr>
    <w:rPr>
      <w:bCs/>
      <w:spacing w:val="10"/>
      <w:kern w:val="0"/>
      <w:sz w:val="24"/>
      <w:szCs w:val="20"/>
    </w:rPr>
  </w:style>
  <w:style w:type="character" w:customStyle="1" w:styleId="12">
    <w:name w:val="页眉 字符"/>
    <w:basedOn w:val="9"/>
    <w:link w:val="6"/>
    <w:qFormat/>
    <w:uiPriority w:val="0"/>
    <w:rPr>
      <w:rFonts w:ascii="Times New Roman" w:hAnsi="Times New Roman" w:eastAsia="宋体" w:cs="Times New Roman"/>
      <w:kern w:val="2"/>
      <w:sz w:val="18"/>
      <w:szCs w:val="18"/>
    </w:rPr>
  </w:style>
  <w:style w:type="character" w:customStyle="1" w:styleId="13">
    <w:name w:val="页脚 字符"/>
    <w:basedOn w:val="9"/>
    <w:link w:val="5"/>
    <w:qFormat/>
    <w:uiPriority w:val="0"/>
    <w:rPr>
      <w:rFonts w:ascii="Times New Roman" w:hAnsi="Times New Roman" w:eastAsia="宋体" w:cs="Times New Roman"/>
      <w:kern w:val="2"/>
      <w:sz w:val="18"/>
      <w:szCs w:val="18"/>
    </w:rPr>
  </w:style>
  <w:style w:type="character" w:customStyle="1" w:styleId="14">
    <w:name w:val="批注文字 字符"/>
    <w:basedOn w:val="9"/>
    <w:link w:val="4"/>
    <w:qFormat/>
    <w:uiPriority w:val="0"/>
    <w:rPr>
      <w:rFonts w:ascii="Times New Roman" w:hAnsi="Times New Roman" w:eastAsia="宋体" w:cs="Times New Roman"/>
      <w:kern w:val="2"/>
      <w:sz w:val="21"/>
      <w:szCs w:val="24"/>
    </w:rPr>
  </w:style>
  <w:style w:type="character" w:customStyle="1" w:styleId="15">
    <w:name w:val="批注主题 字符"/>
    <w:basedOn w:val="14"/>
    <w:link w:val="7"/>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1853</Characters>
  <Lines>15</Lines>
  <Paragraphs>4</Paragraphs>
  <TotalTime>5</TotalTime>
  <ScaleCrop>false</ScaleCrop>
  <LinksUpToDate>false</LinksUpToDate>
  <CharactersWithSpaces>2173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2021-11-11T15:19:00Z</dcterms:created>
  <dc:creator>Kashun</dc:creator>
  <cp:lastModifiedBy>Kashun</cp:lastModifiedBy>
  <dcterms:modified xsi:type="dcterms:W3CDTF">2022-01-11T10:13:16Z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EB649166ED1640198B229251878B07A3</vt:lpwstr>
  </property>
</Properties>
</file>