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7BE01">
      <w:pPr>
        <w:spacing w:line="360" w:lineRule="auto"/>
        <w:rPr>
          <w:rFonts w:hint="eastAsia" w:ascii="宋体" w:hAnsi="宋体" w:eastAsia="宋体" w:cs="宋体"/>
          <w:b w:val="0"/>
          <w:bCs w:val="0"/>
          <w:sz w:val="32"/>
          <w:szCs w:val="32"/>
        </w:rPr>
      </w:pPr>
      <w:bookmarkStart w:id="0" w:name="_Hlk180575203"/>
      <w:bookmarkStart w:id="1" w:name="_Toc11317563"/>
      <w:bookmarkStart w:id="2" w:name="_Toc115756021"/>
      <w:r>
        <w:rPr>
          <w:rFonts w:hint="eastAsia" w:ascii="宋体" w:hAnsi="宋体" w:eastAsia="宋体" w:cs="宋体"/>
          <w:b w:val="0"/>
          <w:bCs w:val="0"/>
          <w:sz w:val="32"/>
          <w:szCs w:val="32"/>
        </w:rPr>
        <w:t>附件3</w:t>
      </w:r>
    </w:p>
    <w:bookmarkEnd w:id="0"/>
    <w:p w14:paraId="0CCBBBE0">
      <w:pPr>
        <w:spacing w:line="360" w:lineRule="auto"/>
        <w:ind w:firstLine="3975" w:firstLineChars="900"/>
        <w:rPr>
          <w:rFonts w:hint="eastAsia" w:ascii="宋体" w:hAnsi="宋体" w:eastAsia="宋体" w:cs="宋体"/>
          <w:b/>
          <w:bCs/>
          <w:sz w:val="44"/>
          <w:szCs w:val="44"/>
        </w:rPr>
      </w:pPr>
      <w:r>
        <w:rPr>
          <w:rFonts w:hint="eastAsia" w:ascii="宋体" w:hAnsi="宋体" w:eastAsia="宋体" w:cs="宋体"/>
          <w:b/>
          <w:bCs/>
          <w:sz w:val="44"/>
          <w:szCs w:val="44"/>
        </w:rPr>
        <w:t>报价须知</w:t>
      </w:r>
      <w:bookmarkEnd w:id="1"/>
      <w:bookmarkEnd w:id="2"/>
      <w:bookmarkStart w:id="3" w:name="_Toc11317564"/>
      <w:bookmarkStart w:id="4" w:name="_Toc115756022"/>
    </w:p>
    <w:p w14:paraId="39EE154B">
      <w:pPr>
        <w:spacing w:line="360" w:lineRule="auto"/>
        <w:ind w:firstLine="2160" w:firstLineChars="900"/>
        <w:rPr>
          <w:rFonts w:hint="eastAsia" w:ascii="宋体" w:hAnsi="宋体" w:eastAsia="宋体" w:cs="宋体"/>
          <w:sz w:val="24"/>
          <w:szCs w:val="24"/>
        </w:rPr>
      </w:pPr>
    </w:p>
    <w:p w14:paraId="2BEDC905">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一、总 则</w:t>
      </w:r>
      <w:bookmarkEnd w:id="3"/>
      <w:bookmarkEnd w:id="4"/>
    </w:p>
    <w:p w14:paraId="6628302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（一）适用范围</w:t>
      </w:r>
    </w:p>
    <w:p w14:paraId="3A1CFE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本文件适用于本次项目的征集。</w:t>
      </w:r>
    </w:p>
    <w:p w14:paraId="684F4DE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（二）定义</w:t>
      </w:r>
    </w:p>
    <w:p w14:paraId="39602C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1.“征集</w:t>
      </w:r>
      <w:r>
        <w:rPr>
          <w:rFonts w:hint="eastAsia" w:ascii="宋体" w:hAnsi="宋体" w:eastAsia="宋体" w:cs="宋体"/>
          <w:sz w:val="24"/>
          <w:szCs w:val="24"/>
          <w:lang w:val="en-US" w:eastAsia="zh-CN"/>
        </w:rPr>
        <w:t>机构</w:t>
      </w:r>
      <w:r>
        <w:rPr>
          <w:rFonts w:hint="eastAsia" w:ascii="宋体" w:hAnsi="宋体" w:eastAsia="宋体" w:cs="宋体"/>
          <w:sz w:val="24"/>
          <w:szCs w:val="24"/>
        </w:rPr>
        <w:t>”</w:t>
      </w:r>
      <w:r>
        <w:rPr>
          <w:rFonts w:hint="eastAsia" w:ascii="宋体" w:hAnsi="宋体" w:eastAsia="宋体" w:cs="宋体"/>
          <w:sz w:val="24"/>
          <w:szCs w:val="24"/>
          <w:lang w:val="en-US" w:eastAsia="zh-CN"/>
        </w:rPr>
        <w:t>指国盛招标项目管理咨询（广州）有限公司。</w:t>
      </w:r>
    </w:p>
    <w:p w14:paraId="144649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“征集人”指广州市足球协会。</w:t>
      </w:r>
    </w:p>
    <w:p w14:paraId="2E44FB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3</w:t>
      </w:r>
      <w:r>
        <w:rPr>
          <w:rFonts w:hint="eastAsia" w:ascii="宋体" w:hAnsi="宋体" w:eastAsia="宋体" w:cs="宋体"/>
          <w:sz w:val="24"/>
          <w:szCs w:val="24"/>
        </w:rPr>
        <w:t>.“报价人”指已按照征集公告要求提交报名材料且审核通过并参加报价的企业。</w:t>
      </w:r>
    </w:p>
    <w:p w14:paraId="5CB64946">
      <w:pPr>
        <w:spacing w:line="360" w:lineRule="auto"/>
        <w:ind w:firstLine="426" w:firstLineChars="177"/>
        <w:rPr>
          <w:rFonts w:hint="eastAsia" w:ascii="宋体" w:hAnsi="宋体" w:eastAsia="宋体" w:cs="宋体"/>
          <w:b/>
          <w:bCs/>
          <w:sz w:val="24"/>
          <w:szCs w:val="24"/>
        </w:rPr>
      </w:pPr>
      <w:r>
        <w:rPr>
          <w:rFonts w:hint="eastAsia" w:ascii="宋体" w:hAnsi="宋体" w:eastAsia="宋体" w:cs="宋体"/>
          <w:b/>
          <w:bCs/>
          <w:sz w:val="24"/>
          <w:szCs w:val="24"/>
        </w:rPr>
        <w:t>（三）评审方式</w:t>
      </w:r>
    </w:p>
    <w:p w14:paraId="7644EF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本次征集按照公开、公正、公平的竞争原则，在全部单位完成谈判规定环节后，由评审小组对参选单位资质、服务质量和相关经验等进行评比，最终评审小组以投票方式确定合作单位。</w:t>
      </w:r>
    </w:p>
    <w:p w14:paraId="78D9386B">
      <w:pPr>
        <w:spacing w:line="360" w:lineRule="auto"/>
        <w:ind w:firstLine="426" w:firstLineChars="177"/>
        <w:rPr>
          <w:rFonts w:hint="eastAsia" w:ascii="宋体" w:hAnsi="宋体" w:eastAsia="宋体" w:cs="宋体"/>
          <w:b/>
          <w:bCs/>
          <w:sz w:val="24"/>
          <w:szCs w:val="24"/>
        </w:rPr>
      </w:pPr>
      <w:r>
        <w:rPr>
          <w:rFonts w:hint="eastAsia" w:ascii="宋体" w:hAnsi="宋体" w:eastAsia="宋体" w:cs="宋体"/>
          <w:b/>
          <w:bCs/>
          <w:sz w:val="24"/>
          <w:szCs w:val="24"/>
        </w:rPr>
        <w:t>（四）语言</w:t>
      </w:r>
    </w:p>
    <w:p w14:paraId="1101C7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报价文件及报价人与征集单位之间的与报价文件有关的往来函电和文件均应须使用中文</w:t>
      </w:r>
      <w:bookmarkStart w:id="5" w:name="_Toc11317565"/>
      <w:bookmarkStart w:id="6" w:name="_Toc115756023"/>
      <w:r>
        <w:rPr>
          <w:rFonts w:hint="eastAsia" w:ascii="宋体" w:hAnsi="宋体" w:eastAsia="宋体" w:cs="宋体"/>
          <w:b w:val="0"/>
          <w:bCs w:val="0"/>
          <w:sz w:val="24"/>
          <w:szCs w:val="24"/>
        </w:rPr>
        <w:t>。</w:t>
      </w:r>
    </w:p>
    <w:p w14:paraId="43CCDA89">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二、项目信息说明</w:t>
      </w:r>
      <w:bookmarkEnd w:id="5"/>
      <w:bookmarkEnd w:id="6"/>
    </w:p>
    <w:p w14:paraId="1FEDB6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（一）报价人应认真审阅谈判文件中所有的须知、条件、格式、项目、技术要求等。</w:t>
      </w:r>
    </w:p>
    <w:p w14:paraId="61BF1E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（二）报价人应认真检查谈判文件是否完整，若发现缺页或附件不全时，应及时向征集单位提出，以便补齐。</w:t>
      </w:r>
      <w:bookmarkStart w:id="7" w:name="_Toc115756024"/>
      <w:bookmarkStart w:id="8" w:name="_Toc11317566"/>
    </w:p>
    <w:p w14:paraId="1FA93CF4">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三、报价文件的编写</w:t>
      </w:r>
      <w:bookmarkEnd w:id="7"/>
      <w:bookmarkEnd w:id="8"/>
    </w:p>
    <w:p w14:paraId="6AEFA279">
      <w:pPr>
        <w:spacing w:line="360" w:lineRule="auto"/>
        <w:ind w:firstLine="426" w:firstLineChars="177"/>
        <w:rPr>
          <w:rFonts w:hint="eastAsia" w:ascii="宋体" w:hAnsi="宋体" w:eastAsia="宋体" w:cs="宋体"/>
          <w:b/>
          <w:bCs/>
          <w:sz w:val="24"/>
          <w:szCs w:val="24"/>
        </w:rPr>
      </w:pPr>
      <w:r>
        <w:rPr>
          <w:rFonts w:hint="eastAsia" w:ascii="宋体" w:hAnsi="宋体" w:eastAsia="宋体" w:cs="宋体"/>
          <w:b/>
          <w:bCs/>
          <w:sz w:val="24"/>
          <w:szCs w:val="24"/>
        </w:rPr>
        <w:t>（一）要求</w:t>
      </w:r>
    </w:p>
    <w:p w14:paraId="1B44ED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报价人应仔细阅读征集公告的所有内容，按征集公告的要求编制报价文件，并保证所提供的全部资料的真实性、完整性及有效性，以使其报价对征集公告做出实质性响应。</w:t>
      </w:r>
    </w:p>
    <w:p w14:paraId="7745A5EB">
      <w:pPr>
        <w:spacing w:line="360" w:lineRule="auto"/>
        <w:ind w:firstLine="426" w:firstLineChars="177"/>
        <w:rPr>
          <w:rFonts w:hint="eastAsia" w:ascii="宋体" w:hAnsi="宋体" w:eastAsia="宋体" w:cs="宋体"/>
          <w:b/>
          <w:bCs/>
          <w:sz w:val="24"/>
          <w:szCs w:val="24"/>
        </w:rPr>
      </w:pPr>
      <w:r>
        <w:rPr>
          <w:rFonts w:hint="eastAsia" w:ascii="宋体" w:hAnsi="宋体" w:eastAsia="宋体" w:cs="宋体"/>
          <w:b/>
          <w:bCs/>
          <w:sz w:val="24"/>
          <w:szCs w:val="24"/>
        </w:rPr>
        <w:t>（二）报价文件的组成</w:t>
      </w:r>
    </w:p>
    <w:p w14:paraId="42B721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“报价文件”至少应包括下列部分（每页需加盖报价人公章）：</w:t>
      </w:r>
    </w:p>
    <w:p w14:paraId="7876B6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1.企业有效营业执照副本复印件；</w:t>
      </w:r>
    </w:p>
    <w:p w14:paraId="7394EF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2.法定代表人身份证复印件；或法定代表人授权委托书原件及被授权代表身份证复印件（身份证原件现场谈判提供查验）；</w:t>
      </w:r>
    </w:p>
    <w:p w14:paraId="50A00B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3.公司背景介绍，包括企业优势、成功案例、合作方案、服务介绍；</w:t>
      </w:r>
    </w:p>
    <w:p w14:paraId="6EB8F7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4.企业最近一年经审计的财务报告；</w:t>
      </w:r>
    </w:p>
    <w:p w14:paraId="22A851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5.</w:t>
      </w:r>
      <w:bookmarkStart w:id="9" w:name="_Hlk178609737"/>
      <w:r>
        <w:rPr>
          <w:rFonts w:hint="eastAsia" w:ascii="宋体" w:hAnsi="宋体" w:eastAsia="宋体" w:cs="宋体"/>
          <w:b w:val="0"/>
          <w:bCs w:val="0"/>
          <w:sz w:val="24"/>
          <w:szCs w:val="24"/>
        </w:rPr>
        <w:t>企业公共信用信息报告</w:t>
      </w:r>
      <w:bookmarkEnd w:id="9"/>
      <w:r>
        <w:rPr>
          <w:rFonts w:hint="eastAsia" w:ascii="宋体" w:hAnsi="宋体" w:eastAsia="宋体" w:cs="宋体"/>
          <w:b w:val="0"/>
          <w:bCs w:val="0"/>
          <w:sz w:val="24"/>
          <w:szCs w:val="24"/>
        </w:rPr>
        <w:t>（来源：信用中国）；</w:t>
      </w:r>
    </w:p>
    <w:p w14:paraId="61BEEC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6.最近</w:t>
      </w:r>
      <w:r>
        <w:rPr>
          <w:rFonts w:hint="eastAsia" w:ascii="宋体" w:hAnsi="宋体" w:eastAsia="宋体" w:cs="宋体"/>
          <w:b w:val="0"/>
          <w:bCs w:val="0"/>
          <w:sz w:val="24"/>
          <w:szCs w:val="24"/>
          <w:lang w:val="en-US" w:eastAsia="zh-CN"/>
        </w:rPr>
        <w:t>六个月内任意一个月的</w:t>
      </w:r>
      <w:r>
        <w:rPr>
          <w:rFonts w:hint="eastAsia" w:ascii="宋体" w:hAnsi="宋体" w:eastAsia="宋体" w:cs="宋体"/>
          <w:b w:val="0"/>
          <w:bCs w:val="0"/>
          <w:sz w:val="24"/>
          <w:szCs w:val="24"/>
        </w:rPr>
        <w:t>纳税证明及社保缴纳记录；</w:t>
      </w:r>
    </w:p>
    <w:p w14:paraId="382765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7.提供符合本公告第</w:t>
      </w:r>
      <w:r>
        <w:rPr>
          <w:rFonts w:hint="eastAsia" w:ascii="宋体" w:hAnsi="宋体" w:eastAsia="宋体" w:cs="宋体"/>
          <w:b w:val="0"/>
          <w:bCs w:val="0"/>
          <w:sz w:val="24"/>
          <w:szCs w:val="24"/>
          <w:lang w:val="en-US" w:eastAsia="zh-CN"/>
        </w:rPr>
        <w:t>四</w:t>
      </w:r>
      <w:r>
        <w:rPr>
          <w:rFonts w:hint="eastAsia" w:ascii="宋体" w:hAnsi="宋体" w:eastAsia="宋体" w:cs="宋体"/>
          <w:b w:val="0"/>
          <w:bCs w:val="0"/>
          <w:sz w:val="24"/>
          <w:szCs w:val="24"/>
        </w:rPr>
        <w:t>条“报名人要求”要求的证明、说明、协议书（复印件）</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承诺</w:t>
      </w:r>
      <w:r>
        <w:rPr>
          <w:rFonts w:hint="eastAsia" w:ascii="宋体" w:hAnsi="宋体" w:eastAsia="宋体" w:cs="宋体"/>
          <w:b w:val="0"/>
          <w:bCs w:val="0"/>
          <w:sz w:val="24"/>
          <w:szCs w:val="24"/>
        </w:rPr>
        <w:t>或其他可资证明的相关材料；</w:t>
      </w:r>
    </w:p>
    <w:p w14:paraId="35DCD2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8.无重大违法记录声明；</w:t>
      </w:r>
    </w:p>
    <w:p w14:paraId="3C3CCF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9.合作方案及报价文件；</w:t>
      </w:r>
    </w:p>
    <w:p w14:paraId="0D1C1B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10.报价人认为需要提供的其它说明和资料。</w:t>
      </w:r>
    </w:p>
    <w:p w14:paraId="3EA908DF">
      <w:pPr>
        <w:spacing w:line="360" w:lineRule="auto"/>
        <w:ind w:firstLine="426" w:firstLineChars="177"/>
        <w:rPr>
          <w:rFonts w:hint="eastAsia" w:ascii="宋体" w:hAnsi="宋体" w:eastAsia="宋体" w:cs="宋体"/>
          <w:b/>
          <w:bCs/>
          <w:sz w:val="24"/>
          <w:szCs w:val="24"/>
        </w:rPr>
      </w:pPr>
      <w:r>
        <w:rPr>
          <w:rFonts w:hint="eastAsia" w:ascii="宋体" w:hAnsi="宋体" w:eastAsia="宋体" w:cs="宋体"/>
          <w:b/>
          <w:bCs/>
          <w:sz w:val="24"/>
          <w:szCs w:val="24"/>
        </w:rPr>
        <w:t>（三）报价文件格式</w:t>
      </w:r>
    </w:p>
    <w:p w14:paraId="5EF02D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征集公告中凡提供报价文件格式的内容，报价人应按提供的格式填写，其余未提供格式的内容由报价人自行设计编写。</w:t>
      </w:r>
    </w:p>
    <w:p w14:paraId="23B3625A">
      <w:pPr>
        <w:spacing w:line="360" w:lineRule="auto"/>
        <w:ind w:firstLine="426" w:firstLineChars="177"/>
        <w:rPr>
          <w:rFonts w:hint="eastAsia" w:ascii="宋体" w:hAnsi="宋体" w:eastAsia="宋体" w:cs="宋体"/>
          <w:b/>
          <w:bCs/>
          <w:sz w:val="24"/>
          <w:szCs w:val="24"/>
        </w:rPr>
      </w:pPr>
      <w:r>
        <w:rPr>
          <w:rFonts w:hint="eastAsia" w:ascii="宋体" w:hAnsi="宋体" w:eastAsia="宋体" w:cs="宋体"/>
          <w:b/>
          <w:bCs/>
          <w:sz w:val="24"/>
          <w:szCs w:val="24"/>
        </w:rPr>
        <w:t>（四）报价</w:t>
      </w:r>
    </w:p>
    <w:p w14:paraId="01B761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1.报价人应提供以人民币为结算单位的报价</w:t>
      </w:r>
      <w:r>
        <w:rPr>
          <w:rFonts w:hint="eastAsia" w:ascii="宋体" w:hAnsi="宋体" w:cs="宋体"/>
          <w:b w:val="0"/>
          <w:bCs w:val="0"/>
          <w:sz w:val="24"/>
          <w:szCs w:val="24"/>
          <w:lang w:eastAsia="zh-CN"/>
        </w:rPr>
        <w:t>；</w:t>
      </w:r>
    </w:p>
    <w:p w14:paraId="53BEC7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2.报价人的报价应包含相关全部费用（包括但不限于税费、合作费等）；</w:t>
      </w:r>
    </w:p>
    <w:p w14:paraId="0721B4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3.报价人应该按照所报价项目实际情况填写报价文件，如有不实，征集人有权取消该报价人的应征资格；</w:t>
      </w:r>
    </w:p>
    <w:p w14:paraId="5D6788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4.自报价文件递交日期算起，报价文件有效期为30日历天；</w:t>
      </w:r>
    </w:p>
    <w:p w14:paraId="1C59D3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5.报价人一旦递交报价文件，就必须严格遵守文件中提出的各项承诺。报价人的所有承诺包括但不限于现金、实物或服务（如有），未经征集单位事先书面批准，均不得取消或修改。</w:t>
      </w:r>
    </w:p>
    <w:p w14:paraId="5E64A534">
      <w:pPr>
        <w:spacing w:line="360" w:lineRule="auto"/>
        <w:ind w:firstLine="426" w:firstLineChars="177"/>
        <w:rPr>
          <w:rFonts w:hint="eastAsia" w:ascii="宋体" w:hAnsi="宋体" w:eastAsia="宋体" w:cs="宋体"/>
          <w:b/>
          <w:bCs/>
          <w:sz w:val="24"/>
          <w:szCs w:val="24"/>
        </w:rPr>
      </w:pPr>
      <w:r>
        <w:rPr>
          <w:rFonts w:hint="eastAsia" w:ascii="宋体" w:hAnsi="宋体" w:eastAsia="宋体" w:cs="宋体"/>
          <w:b/>
          <w:bCs/>
          <w:sz w:val="24"/>
          <w:szCs w:val="24"/>
        </w:rPr>
        <w:t>（五）报价文件的形式</w:t>
      </w:r>
    </w:p>
    <w:p w14:paraId="3123A3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1.报价文件正本壹份、副本肆份，报价人应按照谈判文件要求，在报价文件适当的位置填写报价人全称并加盖公章，同时由法定代表人或经法定代表人正式授权的代表签字。</w:t>
      </w:r>
    </w:p>
    <w:p w14:paraId="4677B4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2.报价文件正本和副本如有不一致之处，以正本为准。</w:t>
      </w:r>
    </w:p>
    <w:p w14:paraId="44B8AD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3.报价文件的文本内容正本应为打印版本，并将“正本”、“副本”字样应加盖或打印在报价文件封面右上角。</w:t>
      </w:r>
    </w:p>
    <w:p w14:paraId="0374CB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b w:val="0"/>
          <w:bCs w:val="0"/>
          <w:sz w:val="24"/>
          <w:szCs w:val="24"/>
        </w:rPr>
        <w:t>4.报价文件应用A4纸打印，采用胶订或线订形式装订成册。</w:t>
      </w:r>
    </w:p>
    <w:p w14:paraId="0674A4F7">
      <w:pPr>
        <w:spacing w:line="360" w:lineRule="auto"/>
        <w:rPr>
          <w:rFonts w:hint="eastAsia" w:ascii="宋体" w:hAnsi="宋体" w:eastAsia="宋体" w:cs="宋体"/>
          <w:b/>
          <w:bCs/>
          <w:sz w:val="24"/>
          <w:szCs w:val="24"/>
        </w:rPr>
      </w:pPr>
      <w:bookmarkStart w:id="10" w:name="_Toc11317567"/>
      <w:bookmarkStart w:id="11" w:name="_Toc115756027"/>
      <w:r>
        <w:rPr>
          <w:rFonts w:hint="eastAsia" w:ascii="宋体" w:hAnsi="宋体" w:eastAsia="宋体" w:cs="宋体"/>
          <w:b/>
          <w:bCs/>
          <w:sz w:val="24"/>
          <w:szCs w:val="24"/>
        </w:rPr>
        <w:t>四、</w:t>
      </w:r>
      <w:bookmarkEnd w:id="10"/>
      <w:bookmarkEnd w:id="11"/>
      <w:r>
        <w:rPr>
          <w:rFonts w:hint="eastAsia" w:ascii="宋体" w:hAnsi="宋体" w:eastAsia="宋体" w:cs="宋体"/>
          <w:b/>
          <w:bCs/>
          <w:sz w:val="24"/>
          <w:szCs w:val="24"/>
        </w:rPr>
        <w:t>成交</w:t>
      </w:r>
    </w:p>
    <w:p w14:paraId="7A5E258C">
      <w:pPr>
        <w:spacing w:line="360" w:lineRule="auto"/>
        <w:ind w:firstLine="426" w:firstLineChars="177"/>
        <w:rPr>
          <w:rFonts w:hint="eastAsia" w:ascii="宋体" w:hAnsi="宋体" w:eastAsia="宋体" w:cs="宋体"/>
          <w:b/>
          <w:bCs/>
          <w:sz w:val="24"/>
          <w:szCs w:val="24"/>
        </w:rPr>
      </w:pPr>
      <w:r>
        <w:rPr>
          <w:rFonts w:hint="eastAsia" w:ascii="宋体" w:hAnsi="宋体" w:eastAsia="宋体" w:cs="宋体"/>
          <w:b/>
          <w:bCs/>
          <w:sz w:val="24"/>
          <w:szCs w:val="24"/>
        </w:rPr>
        <w:t>（一）成交的条件</w:t>
      </w:r>
    </w:p>
    <w:p w14:paraId="5FAC28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b w:val="0"/>
          <w:bCs w:val="0"/>
          <w:sz w:val="24"/>
          <w:szCs w:val="24"/>
        </w:rPr>
        <w:t>本项目将授予符合项目征集需求、有利于项目活动推广，资质好、实力强、企业理念先进、类似项目成绩优异、报价</w:t>
      </w:r>
      <w:r>
        <w:rPr>
          <w:rFonts w:hint="eastAsia" w:ascii="宋体" w:hAnsi="宋体" w:eastAsia="宋体" w:cs="宋体"/>
          <w:b w:val="0"/>
          <w:bCs w:val="0"/>
          <w:sz w:val="24"/>
          <w:szCs w:val="24"/>
          <w:lang w:val="en-US" w:eastAsia="zh-CN"/>
        </w:rPr>
        <w:t>合理</w:t>
      </w:r>
      <w:r>
        <w:rPr>
          <w:rFonts w:hint="eastAsia" w:ascii="宋体" w:hAnsi="宋体" w:eastAsia="宋体" w:cs="宋体"/>
          <w:b w:val="0"/>
          <w:bCs w:val="0"/>
          <w:sz w:val="24"/>
          <w:szCs w:val="24"/>
        </w:rPr>
        <w:t>的报价人。符合成交条件的报价人将成为成交人。</w:t>
      </w:r>
    </w:p>
    <w:p w14:paraId="18423C97">
      <w:pPr>
        <w:spacing w:line="360" w:lineRule="auto"/>
        <w:ind w:firstLine="426" w:firstLineChars="177"/>
        <w:rPr>
          <w:rFonts w:hint="eastAsia" w:ascii="宋体" w:hAnsi="宋体" w:eastAsia="宋体" w:cs="宋体"/>
          <w:b/>
          <w:bCs/>
          <w:sz w:val="24"/>
          <w:szCs w:val="24"/>
        </w:rPr>
      </w:pPr>
      <w:r>
        <w:rPr>
          <w:rFonts w:hint="eastAsia" w:ascii="宋体" w:hAnsi="宋体" w:eastAsia="宋体" w:cs="宋体"/>
          <w:b/>
          <w:bCs/>
          <w:sz w:val="24"/>
          <w:szCs w:val="24"/>
        </w:rPr>
        <w:t>（二）成交结果通知方式</w:t>
      </w:r>
    </w:p>
    <w:p w14:paraId="11B9D5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1.评审谈判结束后，</w:t>
      </w:r>
      <w:r>
        <w:rPr>
          <w:rFonts w:hint="eastAsia" w:ascii="宋体" w:hAnsi="宋体" w:eastAsia="宋体" w:cs="宋体"/>
          <w:b w:val="0"/>
          <w:bCs w:val="0"/>
          <w:sz w:val="24"/>
          <w:szCs w:val="24"/>
          <w:lang w:val="en-US" w:eastAsia="zh-CN"/>
        </w:rPr>
        <w:t>将</w:t>
      </w:r>
      <w:r>
        <w:rPr>
          <w:rFonts w:hint="eastAsia" w:ascii="宋体" w:hAnsi="宋体" w:eastAsia="宋体" w:cs="宋体"/>
          <w:b w:val="0"/>
          <w:bCs w:val="0"/>
          <w:sz w:val="24"/>
          <w:szCs w:val="24"/>
        </w:rPr>
        <w:t>在国盛招标项目管理咨询（广州）有限公司官方网（https://guoshengzbzx.com/）</w:t>
      </w:r>
      <w:r>
        <w:rPr>
          <w:rFonts w:hint="eastAsia" w:ascii="宋体" w:hAnsi="宋体" w:eastAsia="宋体" w:cs="宋体"/>
          <w:b w:val="0"/>
          <w:bCs w:val="0"/>
          <w:sz w:val="24"/>
          <w:szCs w:val="24"/>
          <w:lang w:val="en-US" w:eastAsia="zh-CN"/>
        </w:rPr>
        <w:t>及广州</w:t>
      </w:r>
      <w:r>
        <w:rPr>
          <w:rFonts w:hint="eastAsia" w:ascii="宋体" w:hAnsi="宋体" w:eastAsia="宋体" w:cs="宋体"/>
          <w:b w:val="0"/>
          <w:bCs w:val="0"/>
          <w:sz w:val="24"/>
          <w:szCs w:val="24"/>
        </w:rPr>
        <w:t>足球协会官方</w:t>
      </w:r>
      <w:r>
        <w:rPr>
          <w:rFonts w:hint="eastAsia" w:ascii="宋体" w:hAnsi="宋体" w:eastAsia="宋体" w:cs="宋体"/>
          <w:b w:val="0"/>
          <w:bCs w:val="0"/>
          <w:sz w:val="24"/>
          <w:szCs w:val="24"/>
          <w:lang w:val="en-US" w:eastAsia="zh-CN"/>
        </w:rPr>
        <w:t>微信公众号</w:t>
      </w:r>
      <w:r>
        <w:rPr>
          <w:rFonts w:hint="eastAsia" w:ascii="宋体" w:hAnsi="宋体" w:eastAsia="宋体" w:cs="宋体"/>
          <w:b w:val="0"/>
          <w:bCs w:val="0"/>
          <w:sz w:val="24"/>
          <w:szCs w:val="24"/>
        </w:rPr>
        <w:t>发布谈判结果公告。征集</w:t>
      </w:r>
      <w:r>
        <w:rPr>
          <w:rFonts w:hint="eastAsia" w:ascii="宋体" w:hAnsi="宋体" w:eastAsia="宋体" w:cs="宋体"/>
          <w:b w:val="0"/>
          <w:bCs w:val="0"/>
          <w:sz w:val="24"/>
          <w:szCs w:val="24"/>
          <w:lang w:val="en-US" w:eastAsia="zh-CN"/>
        </w:rPr>
        <w:t>机构及征集人</w:t>
      </w:r>
      <w:r>
        <w:rPr>
          <w:rFonts w:hint="eastAsia" w:ascii="宋体" w:hAnsi="宋体" w:eastAsia="宋体" w:cs="宋体"/>
          <w:b w:val="0"/>
          <w:bCs w:val="0"/>
          <w:sz w:val="24"/>
          <w:szCs w:val="24"/>
        </w:rPr>
        <w:t>对未成交的报价人不作未成交原因的解释。</w:t>
      </w:r>
    </w:p>
    <w:p w14:paraId="43F8AD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2.</w:t>
      </w:r>
      <w:r>
        <w:rPr>
          <w:rFonts w:hint="eastAsia" w:ascii="宋体" w:hAnsi="宋体" w:eastAsia="宋体" w:cs="宋体"/>
          <w:b w:val="0"/>
          <w:bCs w:val="0"/>
          <w:sz w:val="24"/>
          <w:szCs w:val="24"/>
          <w:lang w:val="en-US" w:eastAsia="zh-CN"/>
        </w:rPr>
        <w:t>报名</w:t>
      </w:r>
      <w:r>
        <w:rPr>
          <w:rFonts w:hint="eastAsia" w:ascii="宋体" w:hAnsi="宋体" w:eastAsia="宋体" w:cs="宋体"/>
          <w:b w:val="0"/>
          <w:bCs w:val="0"/>
          <w:sz w:val="24"/>
          <w:szCs w:val="24"/>
        </w:rPr>
        <w:t>文件、报价文件等，将作为征集单位和成交人签订后续合同的重要依据。当前述文件内容与合同内容存在不一致时，以合同内容为准，该合同将作为成交人的最终付款及项目的权利义务关系等的依据。</w:t>
      </w:r>
    </w:p>
    <w:p w14:paraId="5531F24F">
      <w:pPr>
        <w:spacing w:line="360" w:lineRule="auto"/>
        <w:ind w:firstLine="426" w:firstLineChars="177"/>
        <w:rPr>
          <w:rFonts w:hint="eastAsia" w:ascii="宋体" w:hAnsi="宋体" w:eastAsia="宋体" w:cs="宋体"/>
          <w:b/>
          <w:bCs/>
          <w:sz w:val="24"/>
          <w:szCs w:val="24"/>
        </w:rPr>
      </w:pPr>
      <w:r>
        <w:rPr>
          <w:rFonts w:hint="eastAsia" w:ascii="宋体" w:hAnsi="宋体" w:eastAsia="宋体" w:cs="宋体"/>
          <w:b/>
          <w:bCs/>
          <w:sz w:val="24"/>
          <w:szCs w:val="24"/>
        </w:rPr>
        <w:t>（三）合同的签订</w:t>
      </w:r>
    </w:p>
    <w:p w14:paraId="5158C9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b w:val="0"/>
          <w:bCs w:val="0"/>
          <w:sz w:val="24"/>
          <w:szCs w:val="24"/>
        </w:rPr>
        <w:t>进入本项目服务合作的成交人在15个工作日内，征集</w:t>
      </w:r>
      <w:r>
        <w:rPr>
          <w:rFonts w:hint="eastAsia" w:ascii="宋体" w:hAnsi="宋体" w:eastAsia="宋体" w:cs="宋体"/>
          <w:b w:val="0"/>
          <w:bCs w:val="0"/>
          <w:sz w:val="24"/>
          <w:szCs w:val="24"/>
          <w:lang w:val="en-US" w:eastAsia="zh-CN"/>
        </w:rPr>
        <w:t>人</w:t>
      </w:r>
      <w:r>
        <w:rPr>
          <w:rFonts w:hint="eastAsia" w:ascii="宋体" w:hAnsi="宋体" w:eastAsia="宋体" w:cs="宋体"/>
          <w:b w:val="0"/>
          <w:bCs w:val="0"/>
          <w:sz w:val="24"/>
          <w:szCs w:val="24"/>
        </w:rPr>
        <w:t>将与选定企业沟通合作协议。前述合同不得对报价文件作实质性修改；成交人亦不得在收到通知后，再与除征集</w:t>
      </w:r>
      <w:r>
        <w:rPr>
          <w:rFonts w:hint="eastAsia" w:ascii="宋体" w:hAnsi="宋体" w:eastAsia="宋体" w:cs="宋体"/>
          <w:b w:val="0"/>
          <w:bCs w:val="0"/>
          <w:sz w:val="24"/>
          <w:szCs w:val="24"/>
          <w:lang w:val="en-US" w:eastAsia="zh-CN"/>
        </w:rPr>
        <w:t>人</w:t>
      </w:r>
      <w:r>
        <w:rPr>
          <w:rFonts w:hint="eastAsia" w:ascii="宋体" w:hAnsi="宋体" w:eastAsia="宋体" w:cs="宋体"/>
          <w:b w:val="0"/>
          <w:bCs w:val="0"/>
          <w:sz w:val="24"/>
          <w:szCs w:val="24"/>
        </w:rPr>
        <w:t>以外的第三方达成背离成交人报价文件和（或）前述合同实质性内容的其它协议或类似约定。</w:t>
      </w:r>
      <w:bookmarkStart w:id="12" w:name="_Toc11317568"/>
    </w:p>
    <w:p w14:paraId="66CE72A9">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五、质疑和投诉</w:t>
      </w:r>
      <w:bookmarkEnd w:id="12"/>
    </w:p>
    <w:p w14:paraId="6B340F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（一）除涉及征集</w:t>
      </w:r>
      <w:r>
        <w:rPr>
          <w:rFonts w:hint="eastAsia" w:ascii="宋体" w:hAnsi="宋体" w:eastAsia="宋体" w:cs="宋体"/>
          <w:b w:val="0"/>
          <w:bCs w:val="0"/>
          <w:sz w:val="24"/>
          <w:szCs w:val="24"/>
          <w:lang w:val="en-US" w:eastAsia="zh-CN"/>
        </w:rPr>
        <w:t>机构或征集人</w:t>
      </w:r>
      <w:r>
        <w:rPr>
          <w:rFonts w:hint="eastAsia" w:ascii="宋体" w:hAnsi="宋体" w:eastAsia="宋体" w:cs="宋体"/>
          <w:b w:val="0"/>
          <w:bCs w:val="0"/>
          <w:sz w:val="24"/>
          <w:szCs w:val="24"/>
        </w:rPr>
        <w:t>或其他第三方的包括但不限于商业秘密等非公开信息的，报价人对征集事项有疑问，可在谈判规定的期限内以书面形式向征集</w:t>
      </w:r>
      <w:r>
        <w:rPr>
          <w:rFonts w:hint="eastAsia" w:ascii="宋体" w:hAnsi="宋体" w:eastAsia="宋体" w:cs="宋体"/>
          <w:b w:val="0"/>
          <w:bCs w:val="0"/>
          <w:sz w:val="24"/>
          <w:szCs w:val="24"/>
          <w:lang w:val="en-US" w:eastAsia="zh-CN"/>
        </w:rPr>
        <w:t>机构</w:t>
      </w:r>
      <w:r>
        <w:rPr>
          <w:rFonts w:hint="eastAsia" w:ascii="宋体" w:hAnsi="宋体" w:eastAsia="宋体" w:cs="宋体"/>
          <w:b w:val="0"/>
          <w:bCs w:val="0"/>
          <w:sz w:val="24"/>
          <w:szCs w:val="24"/>
        </w:rPr>
        <w:t>提出询问。</w:t>
      </w:r>
    </w:p>
    <w:p w14:paraId="52902F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（二）报价人认为征集文件、征集过程和成交结果使自己的合法权益受到损害的，可以自知道或者应当知道其权益受到损害之日起3个工作日内，以书面形式向征集</w:t>
      </w:r>
      <w:r>
        <w:rPr>
          <w:rFonts w:hint="eastAsia" w:ascii="宋体" w:hAnsi="宋体" w:eastAsia="宋体" w:cs="宋体"/>
          <w:b w:val="0"/>
          <w:bCs w:val="0"/>
          <w:sz w:val="24"/>
          <w:szCs w:val="24"/>
          <w:lang w:val="en-US" w:eastAsia="zh-CN"/>
        </w:rPr>
        <w:t>机构</w:t>
      </w:r>
      <w:r>
        <w:rPr>
          <w:rFonts w:hint="eastAsia" w:ascii="宋体" w:hAnsi="宋体" w:eastAsia="宋体" w:cs="宋体"/>
          <w:b w:val="0"/>
          <w:bCs w:val="0"/>
          <w:sz w:val="24"/>
          <w:szCs w:val="24"/>
        </w:rPr>
        <w:t>提出质疑。</w:t>
      </w:r>
    </w:p>
    <w:p w14:paraId="7A276D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（三）报价人不得虚假质疑和恶意质疑，并对质疑内容的真实性、合法性承担责任。报价人或者其他利害关系人通过捏造事实、伪造证明材料等方式提出质疑或投诉，阻碍征集活动正常进行的，征集</w:t>
      </w:r>
      <w:r>
        <w:rPr>
          <w:rFonts w:hint="eastAsia" w:ascii="宋体" w:hAnsi="宋体" w:eastAsia="宋体" w:cs="宋体"/>
          <w:b w:val="0"/>
          <w:bCs w:val="0"/>
          <w:sz w:val="24"/>
          <w:szCs w:val="24"/>
          <w:lang w:val="en-US" w:eastAsia="zh-CN"/>
        </w:rPr>
        <w:t>机构</w:t>
      </w:r>
      <w:r>
        <w:rPr>
          <w:rFonts w:hint="eastAsia" w:ascii="宋体" w:hAnsi="宋体" w:eastAsia="宋体" w:cs="宋体"/>
          <w:b w:val="0"/>
          <w:bCs w:val="0"/>
          <w:sz w:val="24"/>
          <w:szCs w:val="24"/>
        </w:rPr>
        <w:t>将不予回复，由此给征集</w:t>
      </w:r>
      <w:r>
        <w:rPr>
          <w:rFonts w:hint="eastAsia" w:ascii="宋体" w:hAnsi="宋体" w:eastAsia="宋体" w:cs="宋体"/>
          <w:b w:val="0"/>
          <w:bCs w:val="0"/>
          <w:sz w:val="24"/>
          <w:szCs w:val="24"/>
          <w:lang w:val="en-US" w:eastAsia="zh-CN"/>
        </w:rPr>
        <w:t>人</w:t>
      </w:r>
      <w:r>
        <w:rPr>
          <w:rFonts w:hint="eastAsia" w:ascii="宋体" w:hAnsi="宋体" w:eastAsia="宋体" w:cs="宋体"/>
          <w:b w:val="0"/>
          <w:bCs w:val="0"/>
          <w:sz w:val="24"/>
          <w:szCs w:val="24"/>
        </w:rPr>
        <w:t>或项目造成不良应向的，征集</w:t>
      </w:r>
      <w:r>
        <w:rPr>
          <w:rFonts w:hint="eastAsia" w:ascii="宋体" w:hAnsi="宋体" w:eastAsia="宋体" w:cs="宋体"/>
          <w:b w:val="0"/>
          <w:bCs w:val="0"/>
          <w:sz w:val="24"/>
          <w:szCs w:val="24"/>
          <w:lang w:val="en-US" w:eastAsia="zh-CN"/>
        </w:rPr>
        <w:t>人</w:t>
      </w:r>
      <w:r>
        <w:rPr>
          <w:rFonts w:hint="eastAsia" w:ascii="宋体" w:hAnsi="宋体" w:eastAsia="宋体" w:cs="宋体"/>
          <w:b w:val="0"/>
          <w:bCs w:val="0"/>
          <w:sz w:val="24"/>
          <w:szCs w:val="24"/>
        </w:rPr>
        <w:t>有权要求该报价人赔礼道歉、赔偿损失。</w:t>
      </w:r>
    </w:p>
    <w:p w14:paraId="5C2C3C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b w:val="0"/>
          <w:bCs w:val="0"/>
          <w:sz w:val="24"/>
          <w:szCs w:val="24"/>
        </w:rPr>
        <w:t>（四）征集</w:t>
      </w:r>
      <w:r>
        <w:rPr>
          <w:rFonts w:hint="eastAsia" w:ascii="宋体" w:hAnsi="宋体" w:eastAsia="宋体" w:cs="宋体"/>
          <w:b w:val="0"/>
          <w:bCs w:val="0"/>
          <w:sz w:val="24"/>
          <w:szCs w:val="24"/>
          <w:lang w:val="en-US" w:eastAsia="zh-CN"/>
        </w:rPr>
        <w:t>机构</w:t>
      </w:r>
      <w:r>
        <w:rPr>
          <w:rFonts w:hint="eastAsia" w:ascii="宋体" w:hAnsi="宋体" w:eastAsia="宋体" w:cs="宋体"/>
          <w:b w:val="0"/>
          <w:bCs w:val="0"/>
          <w:sz w:val="24"/>
          <w:szCs w:val="24"/>
        </w:rPr>
        <w:t>将在收到书面质疑后20个工作日内审查质疑事项，做出答复或相关处理决定，并以书面形式通知质疑报价人和其他有关报价人，前提是质疑及答复的内容均不涉及商业秘密等非公开信息。</w:t>
      </w:r>
    </w:p>
    <w:p w14:paraId="5B474DE7">
      <w:pPr>
        <w:spacing w:line="360" w:lineRule="auto"/>
        <w:rPr>
          <w:rFonts w:hint="eastAsia" w:ascii="宋体" w:hAnsi="宋体" w:eastAsia="宋体" w:cs="宋体"/>
          <w:b/>
          <w:bCs/>
          <w:sz w:val="24"/>
          <w:szCs w:val="24"/>
        </w:rPr>
      </w:pPr>
      <w:bookmarkStart w:id="13" w:name="_Toc11317569"/>
      <w:r>
        <w:rPr>
          <w:rFonts w:hint="eastAsia" w:ascii="宋体" w:hAnsi="宋体" w:eastAsia="宋体" w:cs="宋体"/>
          <w:b/>
          <w:bCs/>
          <w:sz w:val="24"/>
          <w:szCs w:val="24"/>
        </w:rPr>
        <w:t>六、其它须知</w:t>
      </w:r>
      <w:bookmarkEnd w:id="13"/>
    </w:p>
    <w:p w14:paraId="4B4B7E7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关于关联企业</w:t>
      </w:r>
    </w:p>
    <w:p w14:paraId="1A2542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法定代表人为同一人的报价人，或报价人的母公司、全资子公司及其控股公司等其他与报价人有关联关系的企业，不得同时对同一征集项目中同一部分进行报价。如同时报价，谈判组有权视情况决定是否允许其撤回部分报价人只保留其中一名报价人，或直接决定一并拒绝前述存在关联关系的所有报价人。</w:t>
      </w:r>
    </w:p>
    <w:p w14:paraId="1DF57120">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七、征集服务费</w:t>
      </w:r>
    </w:p>
    <w:p w14:paraId="058396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本项目的成交人在领取《成交通知书》前须一次性向征集机构缴纳￥8,000.00（大写：人民币捌仟元整）作为征集服务费。</w:t>
      </w:r>
      <w:bookmarkStart w:id="14" w:name="_GoBack"/>
      <w:bookmarkEnd w:id="14"/>
    </w:p>
    <w:sectPr>
      <w:footerReference r:id="rId3" w:type="default"/>
      <w:pgSz w:w="11906" w:h="16838"/>
      <w:pgMar w:top="1985" w:right="1531" w:bottom="181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759541"/>
      <w:docPartObj>
        <w:docPartGallery w:val="autotext"/>
      </w:docPartObj>
    </w:sdtPr>
    <w:sdtContent>
      <w:p w14:paraId="0CA87942">
        <w:pPr>
          <w:pStyle w:val="14"/>
          <w:jc w:val="center"/>
        </w:pPr>
        <w:r>
          <w:fldChar w:fldCharType="begin"/>
        </w:r>
        <w:r>
          <w:instrText xml:space="preserve">PAGE   \* MERGEFORMAT</w:instrText>
        </w:r>
        <w:r>
          <w:fldChar w:fldCharType="separate"/>
        </w:r>
        <w:r>
          <w:rPr>
            <w:lang w:val="zh-CN"/>
          </w:rPr>
          <w:t>2</w:t>
        </w:r>
        <w:r>
          <w:fldChar w:fldCharType="end"/>
        </w:r>
      </w:p>
    </w:sdtContent>
  </w:sdt>
  <w:p w14:paraId="3640A3E8">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5F3F3D"/>
    <w:multiLevelType w:val="singleLevel"/>
    <w:tmpl w:val="555F3F3D"/>
    <w:lvl w:ilvl="0" w:tentative="0">
      <w:start w:val="1"/>
      <w:numFmt w:val="decimal"/>
      <w:pStyle w:val="30"/>
      <w:lvlText w:val="%1．"/>
      <w:lvlJc w:val="left"/>
      <w:pPr>
        <w:tabs>
          <w:tab w:val="left" w:pos="480"/>
        </w:tabs>
        <w:ind w:left="480" w:hanging="480"/>
      </w:pPr>
      <w:rPr>
        <w:rFonts w:hint="eastAsia"/>
      </w:rPr>
    </w:lvl>
  </w:abstractNum>
  <w:abstractNum w:abstractNumId="1">
    <w:nsid w:val="555F3F69"/>
    <w:multiLevelType w:val="multilevel"/>
    <w:tmpl w:val="555F3F69"/>
    <w:lvl w:ilvl="0" w:tentative="0">
      <w:start w:val="2"/>
      <w:numFmt w:val="chineseCountingThousand"/>
      <w:pStyle w:val="2"/>
      <w:suff w:val="nothing"/>
      <w:lvlText w:val="第%1部分"/>
      <w:lvlJc w:val="center"/>
      <w:pPr>
        <w:ind w:left="0" w:firstLine="288"/>
      </w:pPr>
      <w:rPr>
        <w:rFonts w:hint="eastAsia"/>
        <w:sz w:val="28"/>
        <w:szCs w:val="28"/>
        <w:lang w:val="en-US"/>
      </w:rPr>
    </w:lvl>
    <w:lvl w:ilvl="1" w:tentative="0">
      <w:start w:val="1"/>
      <w:numFmt w:val="chineseCountingThousand"/>
      <w:pStyle w:val="3"/>
      <w:suff w:val="nothing"/>
      <w:lvlText w:val="%2、"/>
      <w:lvlJc w:val="left"/>
      <w:pPr>
        <w:ind w:left="360" w:firstLine="0"/>
      </w:pPr>
      <w:rPr>
        <w:rFonts w:hint="eastAsia"/>
        <w:lang w:val="en-US"/>
      </w:rPr>
    </w:lvl>
    <w:lvl w:ilvl="2" w:tentative="0">
      <w:start w:val="1"/>
      <w:numFmt w:val="chineseCountingThousand"/>
      <w:pStyle w:val="4"/>
      <w:suff w:val="nothing"/>
      <w:lvlText w:val="(%3)"/>
      <w:lvlJc w:val="left"/>
      <w:pPr>
        <w:ind w:left="0" w:firstLine="0"/>
      </w:pPr>
      <w:rPr>
        <w:rFonts w:hint="eastAsia"/>
      </w:rPr>
    </w:lvl>
    <w:lvl w:ilvl="3" w:tentative="0">
      <w:start w:val="1"/>
      <w:numFmt w:val="decimal"/>
      <w:pStyle w:val="5"/>
      <w:suff w:val="nothing"/>
      <w:lvlText w:val="%4、"/>
      <w:lvlJc w:val="left"/>
      <w:pPr>
        <w:ind w:left="0" w:firstLine="0"/>
      </w:pPr>
      <w:rPr>
        <w:rFonts w:hint="eastAsia"/>
      </w:rPr>
    </w:lvl>
    <w:lvl w:ilvl="4" w:tentative="0">
      <w:start w:val="1"/>
      <w:numFmt w:val="upperLetter"/>
      <w:pStyle w:val="6"/>
      <w:suff w:val="nothing"/>
      <w:lvlText w:val="%5、"/>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pStyle w:val="8"/>
      <w:suff w:val="nothing"/>
      <w:lvlText w:val=""/>
      <w:lvlJc w:val="left"/>
      <w:pPr>
        <w:ind w:left="0" w:firstLine="0"/>
      </w:pPr>
      <w:rPr>
        <w:rFonts w:hint="eastAsia"/>
      </w:rPr>
    </w:lvl>
    <w:lvl w:ilvl="7" w:tentative="0">
      <w:start w:val="1"/>
      <w:numFmt w:val="none"/>
      <w:pStyle w:val="9"/>
      <w:suff w:val="nothing"/>
      <w:lvlText w:val=""/>
      <w:lvlJc w:val="left"/>
      <w:pPr>
        <w:ind w:left="0" w:firstLine="0"/>
      </w:pPr>
      <w:rPr>
        <w:rFonts w:hint="eastAsia"/>
      </w:rPr>
    </w:lvl>
    <w:lvl w:ilvl="8" w:tentative="0">
      <w:start w:val="1"/>
      <w:numFmt w:val="none"/>
      <w:pStyle w:val="10"/>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DAE"/>
    <w:rsid w:val="00036794"/>
    <w:rsid w:val="00062151"/>
    <w:rsid w:val="000C7B11"/>
    <w:rsid w:val="000D24EC"/>
    <w:rsid w:val="00166CB1"/>
    <w:rsid w:val="00191E42"/>
    <w:rsid w:val="001B213C"/>
    <w:rsid w:val="001B30A0"/>
    <w:rsid w:val="001C286E"/>
    <w:rsid w:val="001D257C"/>
    <w:rsid w:val="001F56A7"/>
    <w:rsid w:val="001F660A"/>
    <w:rsid w:val="00275CBC"/>
    <w:rsid w:val="003167F9"/>
    <w:rsid w:val="0032069A"/>
    <w:rsid w:val="003318D2"/>
    <w:rsid w:val="00346E18"/>
    <w:rsid w:val="003603BB"/>
    <w:rsid w:val="00385DA7"/>
    <w:rsid w:val="00390602"/>
    <w:rsid w:val="00392CFE"/>
    <w:rsid w:val="003A1D0D"/>
    <w:rsid w:val="003E061D"/>
    <w:rsid w:val="00411345"/>
    <w:rsid w:val="004178A5"/>
    <w:rsid w:val="004219CD"/>
    <w:rsid w:val="00472907"/>
    <w:rsid w:val="00494784"/>
    <w:rsid w:val="004E5EB0"/>
    <w:rsid w:val="00537509"/>
    <w:rsid w:val="00572C91"/>
    <w:rsid w:val="00594CB6"/>
    <w:rsid w:val="005D0780"/>
    <w:rsid w:val="005D23FA"/>
    <w:rsid w:val="0063207B"/>
    <w:rsid w:val="006346E9"/>
    <w:rsid w:val="00665DFC"/>
    <w:rsid w:val="00671A50"/>
    <w:rsid w:val="00697F7E"/>
    <w:rsid w:val="006A33E1"/>
    <w:rsid w:val="006A3FD3"/>
    <w:rsid w:val="006A6BA5"/>
    <w:rsid w:val="006B49D3"/>
    <w:rsid w:val="006C36BD"/>
    <w:rsid w:val="0072302F"/>
    <w:rsid w:val="00763ACF"/>
    <w:rsid w:val="00781AD9"/>
    <w:rsid w:val="00783E2E"/>
    <w:rsid w:val="007A6A97"/>
    <w:rsid w:val="007B3A66"/>
    <w:rsid w:val="007C435D"/>
    <w:rsid w:val="007F5AA5"/>
    <w:rsid w:val="00800DFF"/>
    <w:rsid w:val="00824F32"/>
    <w:rsid w:val="0083139E"/>
    <w:rsid w:val="00865102"/>
    <w:rsid w:val="0087468D"/>
    <w:rsid w:val="00894BC0"/>
    <w:rsid w:val="00894D67"/>
    <w:rsid w:val="008B655C"/>
    <w:rsid w:val="008D1C6F"/>
    <w:rsid w:val="008E1BCB"/>
    <w:rsid w:val="008E5506"/>
    <w:rsid w:val="008E635B"/>
    <w:rsid w:val="009576C8"/>
    <w:rsid w:val="00977B78"/>
    <w:rsid w:val="00986DA1"/>
    <w:rsid w:val="009A3E8C"/>
    <w:rsid w:val="009C52ED"/>
    <w:rsid w:val="00AA0E81"/>
    <w:rsid w:val="00B00C34"/>
    <w:rsid w:val="00B07079"/>
    <w:rsid w:val="00B11878"/>
    <w:rsid w:val="00B46A76"/>
    <w:rsid w:val="00BB1996"/>
    <w:rsid w:val="00BD1FDE"/>
    <w:rsid w:val="00C00B4C"/>
    <w:rsid w:val="00C24832"/>
    <w:rsid w:val="00C64219"/>
    <w:rsid w:val="00C7401A"/>
    <w:rsid w:val="00C91318"/>
    <w:rsid w:val="00CC3DAE"/>
    <w:rsid w:val="00D3297F"/>
    <w:rsid w:val="00D446DC"/>
    <w:rsid w:val="00D73630"/>
    <w:rsid w:val="00DB1BE8"/>
    <w:rsid w:val="00DC5378"/>
    <w:rsid w:val="00DC7B4D"/>
    <w:rsid w:val="00DD5E80"/>
    <w:rsid w:val="00DF5D57"/>
    <w:rsid w:val="00E04240"/>
    <w:rsid w:val="00E06E95"/>
    <w:rsid w:val="00E31FCC"/>
    <w:rsid w:val="00E52119"/>
    <w:rsid w:val="00EA438B"/>
    <w:rsid w:val="00EA68C9"/>
    <w:rsid w:val="00EE592C"/>
    <w:rsid w:val="00EE63EA"/>
    <w:rsid w:val="00F41DBF"/>
    <w:rsid w:val="00F66A56"/>
    <w:rsid w:val="00FD25EE"/>
    <w:rsid w:val="00FD6314"/>
    <w:rsid w:val="00FE4E47"/>
    <w:rsid w:val="00FF748E"/>
    <w:rsid w:val="070E2AFA"/>
    <w:rsid w:val="0E3F40D0"/>
    <w:rsid w:val="11D81D3B"/>
    <w:rsid w:val="172C1BA1"/>
    <w:rsid w:val="1F06632D"/>
    <w:rsid w:val="21FF0194"/>
    <w:rsid w:val="24045DA4"/>
    <w:rsid w:val="24327F81"/>
    <w:rsid w:val="2C6F6645"/>
    <w:rsid w:val="2E2A34C6"/>
    <w:rsid w:val="34E41E68"/>
    <w:rsid w:val="3A695377"/>
    <w:rsid w:val="46C34575"/>
    <w:rsid w:val="4BE8259F"/>
    <w:rsid w:val="575F3023"/>
    <w:rsid w:val="5F4C2CFF"/>
    <w:rsid w:val="68456707"/>
    <w:rsid w:val="691B590A"/>
    <w:rsid w:val="71D1202A"/>
    <w:rsid w:val="77822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0"/>
    <w:pPr>
      <w:keepNext/>
      <w:keepLines/>
      <w:numPr>
        <w:ilvl w:val="0"/>
        <w:numId w:val="1"/>
      </w:numPr>
      <w:adjustRightInd w:val="0"/>
      <w:spacing w:before="340" w:after="330" w:line="578" w:lineRule="atLeast"/>
      <w:jc w:val="left"/>
      <w:textAlignment w:val="baseline"/>
      <w:outlineLvl w:val="0"/>
    </w:pPr>
    <w:rPr>
      <w:b/>
      <w:bCs/>
      <w:kern w:val="44"/>
      <w:sz w:val="44"/>
      <w:szCs w:val="44"/>
      <w:lang w:val="zh-CN" w:eastAsia="zh-CN"/>
    </w:rPr>
  </w:style>
  <w:style w:type="paragraph" w:styleId="3">
    <w:name w:val="heading 2"/>
    <w:basedOn w:val="1"/>
    <w:next w:val="1"/>
    <w:link w:val="20"/>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paragraph" w:styleId="4">
    <w:name w:val="heading 3"/>
    <w:basedOn w:val="1"/>
    <w:next w:val="1"/>
    <w:link w:val="21"/>
    <w:qFormat/>
    <w:uiPriority w:val="0"/>
    <w:pPr>
      <w:keepNext/>
      <w:keepLines/>
      <w:numPr>
        <w:ilvl w:val="2"/>
        <w:numId w:val="1"/>
      </w:numPr>
      <w:adjustRightInd w:val="0"/>
      <w:spacing w:before="260" w:after="260" w:line="416" w:lineRule="atLeast"/>
      <w:jc w:val="left"/>
      <w:textAlignment w:val="baseline"/>
      <w:outlineLvl w:val="2"/>
    </w:pPr>
    <w:rPr>
      <w:b/>
      <w:bCs/>
      <w:kern w:val="0"/>
      <w:sz w:val="32"/>
      <w:szCs w:val="32"/>
    </w:rPr>
  </w:style>
  <w:style w:type="paragraph" w:styleId="5">
    <w:name w:val="heading 4"/>
    <w:basedOn w:val="1"/>
    <w:next w:val="1"/>
    <w:link w:val="22"/>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bCs/>
      <w:kern w:val="0"/>
      <w:sz w:val="28"/>
      <w:szCs w:val="28"/>
    </w:rPr>
  </w:style>
  <w:style w:type="paragraph" w:styleId="6">
    <w:name w:val="heading 5"/>
    <w:basedOn w:val="1"/>
    <w:next w:val="1"/>
    <w:link w:val="23"/>
    <w:qFormat/>
    <w:uiPriority w:val="0"/>
    <w:pPr>
      <w:keepNext/>
      <w:keepLines/>
      <w:numPr>
        <w:ilvl w:val="4"/>
        <w:numId w:val="1"/>
      </w:numPr>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24"/>
    <w:qFormat/>
    <w:uiPriority w:val="0"/>
    <w:pPr>
      <w:keepNext/>
      <w:keepLines/>
      <w:numPr>
        <w:ilvl w:val="5"/>
        <w:numId w:val="1"/>
      </w:numPr>
      <w:adjustRightInd w:val="0"/>
      <w:spacing w:before="240" w:after="64" w:line="320" w:lineRule="atLeast"/>
      <w:jc w:val="left"/>
      <w:textAlignment w:val="baseline"/>
      <w:outlineLvl w:val="5"/>
    </w:pPr>
    <w:rPr>
      <w:rFonts w:ascii="Arial" w:hAnsi="Arial"/>
      <w:b/>
      <w:bCs/>
      <w:kern w:val="0"/>
      <w:sz w:val="32"/>
      <w:lang w:val="zh-CN" w:eastAsia="zh-CN"/>
    </w:rPr>
  </w:style>
  <w:style w:type="paragraph" w:styleId="8">
    <w:name w:val="heading 7"/>
    <w:basedOn w:val="1"/>
    <w:next w:val="1"/>
    <w:link w:val="25"/>
    <w:qFormat/>
    <w:uiPriority w:val="0"/>
    <w:pPr>
      <w:keepNext/>
      <w:keepLines/>
      <w:numPr>
        <w:ilvl w:val="6"/>
        <w:numId w:val="1"/>
      </w:numPr>
      <w:adjustRightInd w:val="0"/>
      <w:spacing w:before="240" w:after="64" w:line="320" w:lineRule="atLeast"/>
      <w:jc w:val="left"/>
      <w:textAlignment w:val="baseline"/>
      <w:outlineLvl w:val="6"/>
    </w:pPr>
    <w:rPr>
      <w:b/>
      <w:bCs/>
      <w:kern w:val="0"/>
      <w:sz w:val="24"/>
    </w:rPr>
  </w:style>
  <w:style w:type="paragraph" w:styleId="9">
    <w:name w:val="heading 8"/>
    <w:basedOn w:val="1"/>
    <w:next w:val="1"/>
    <w:link w:val="26"/>
    <w:qFormat/>
    <w:uiPriority w:val="0"/>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27"/>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kern w:val="0"/>
      <w:szCs w:val="21"/>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semiHidden/>
    <w:unhideWhenUsed/>
    <w:qFormat/>
    <w:uiPriority w:val="99"/>
    <w:pPr>
      <w:jc w:val="left"/>
    </w:pPr>
  </w:style>
  <w:style w:type="paragraph" w:styleId="12">
    <w:name w:val="Body Text"/>
    <w:basedOn w:val="1"/>
    <w:link w:val="36"/>
    <w:qFormat/>
    <w:uiPriority w:val="0"/>
    <w:pPr>
      <w:tabs>
        <w:tab w:val="left" w:pos="1155"/>
      </w:tabs>
      <w:spacing w:line="420" w:lineRule="exact"/>
    </w:pPr>
    <w:rPr>
      <w:rFonts w:ascii="宋体" w:hAnsiTheme="minorHAnsi" w:eastAsiaTheme="minorEastAsia" w:cstheme="minorBidi"/>
      <w:sz w:val="24"/>
    </w:rPr>
  </w:style>
  <w:style w:type="paragraph" w:styleId="13">
    <w:name w:val="Balloon Text"/>
    <w:basedOn w:val="1"/>
    <w:link w:val="38"/>
    <w:semiHidden/>
    <w:unhideWhenUsed/>
    <w:qFormat/>
    <w:uiPriority w:val="99"/>
    <w:rPr>
      <w:sz w:val="18"/>
      <w:szCs w:val="18"/>
    </w:rPr>
  </w:style>
  <w:style w:type="paragraph" w:styleId="14">
    <w:name w:val="footer"/>
    <w:basedOn w:val="1"/>
    <w:link w:val="35"/>
    <w:unhideWhenUsed/>
    <w:qFormat/>
    <w:uiPriority w:val="99"/>
    <w:pPr>
      <w:tabs>
        <w:tab w:val="center" w:pos="4153"/>
        <w:tab w:val="right" w:pos="8306"/>
      </w:tabs>
      <w:snapToGrid w:val="0"/>
      <w:jc w:val="left"/>
    </w:pPr>
    <w:rPr>
      <w:sz w:val="18"/>
      <w:szCs w:val="18"/>
    </w:rPr>
  </w:style>
  <w:style w:type="paragraph" w:styleId="15">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itle"/>
    <w:basedOn w:val="1"/>
    <w:link w:val="28"/>
    <w:qFormat/>
    <w:uiPriority w:val="0"/>
    <w:pPr>
      <w:spacing w:before="240" w:after="60"/>
      <w:jc w:val="center"/>
      <w:outlineLvl w:val="0"/>
    </w:pPr>
    <w:rPr>
      <w:rFonts w:ascii="Arial" w:hAnsi="Arial" w:cs="Arial"/>
      <w:b/>
      <w:bCs/>
      <w:sz w:val="32"/>
      <w:szCs w:val="32"/>
    </w:rPr>
  </w:style>
  <w:style w:type="character" w:customStyle="1" w:styleId="19">
    <w:name w:val="标题 1 字符"/>
    <w:basedOn w:val="18"/>
    <w:link w:val="2"/>
    <w:qFormat/>
    <w:uiPriority w:val="0"/>
    <w:rPr>
      <w:rFonts w:ascii="Times New Roman" w:hAnsi="Times New Roman" w:eastAsia="宋体" w:cs="Times New Roman"/>
      <w:b/>
      <w:bCs/>
      <w:kern w:val="44"/>
      <w:sz w:val="44"/>
      <w:szCs w:val="44"/>
      <w:lang w:val="zh-CN" w:eastAsia="zh-CN"/>
    </w:rPr>
  </w:style>
  <w:style w:type="character" w:customStyle="1" w:styleId="20">
    <w:name w:val="标题 2 字符"/>
    <w:basedOn w:val="18"/>
    <w:link w:val="3"/>
    <w:qFormat/>
    <w:uiPriority w:val="0"/>
    <w:rPr>
      <w:rFonts w:ascii="Arial" w:hAnsi="Arial" w:eastAsia="黑体" w:cs="Times New Roman"/>
      <w:b/>
      <w:bCs/>
      <w:kern w:val="0"/>
      <w:sz w:val="32"/>
      <w:szCs w:val="32"/>
    </w:rPr>
  </w:style>
  <w:style w:type="character" w:customStyle="1" w:styleId="21">
    <w:name w:val="标题 3 字符"/>
    <w:basedOn w:val="18"/>
    <w:link w:val="4"/>
    <w:qFormat/>
    <w:uiPriority w:val="0"/>
    <w:rPr>
      <w:rFonts w:ascii="Times New Roman" w:hAnsi="Times New Roman" w:eastAsia="宋体" w:cs="Times New Roman"/>
      <w:b/>
      <w:bCs/>
      <w:kern w:val="0"/>
      <w:sz w:val="32"/>
      <w:szCs w:val="32"/>
    </w:rPr>
  </w:style>
  <w:style w:type="character" w:customStyle="1" w:styleId="22">
    <w:name w:val="标题 4 字符"/>
    <w:basedOn w:val="18"/>
    <w:link w:val="5"/>
    <w:qFormat/>
    <w:uiPriority w:val="0"/>
    <w:rPr>
      <w:rFonts w:ascii="Arial" w:hAnsi="Arial" w:eastAsia="黑体" w:cs="Times New Roman"/>
      <w:b/>
      <w:bCs/>
      <w:kern w:val="0"/>
      <w:sz w:val="28"/>
      <w:szCs w:val="28"/>
    </w:rPr>
  </w:style>
  <w:style w:type="character" w:customStyle="1" w:styleId="23">
    <w:name w:val="标题 5 字符"/>
    <w:basedOn w:val="18"/>
    <w:link w:val="6"/>
    <w:qFormat/>
    <w:uiPriority w:val="0"/>
    <w:rPr>
      <w:rFonts w:ascii="Times New Roman" w:hAnsi="Times New Roman" w:eastAsia="宋体" w:cs="Times New Roman"/>
      <w:b/>
      <w:bCs/>
      <w:kern w:val="0"/>
      <w:sz w:val="28"/>
      <w:szCs w:val="28"/>
    </w:rPr>
  </w:style>
  <w:style w:type="character" w:customStyle="1" w:styleId="24">
    <w:name w:val="标题 6 字符"/>
    <w:basedOn w:val="18"/>
    <w:link w:val="7"/>
    <w:qFormat/>
    <w:uiPriority w:val="0"/>
    <w:rPr>
      <w:rFonts w:ascii="Arial" w:hAnsi="Arial" w:eastAsia="宋体" w:cs="Times New Roman"/>
      <w:b/>
      <w:bCs/>
      <w:kern w:val="0"/>
      <w:sz w:val="32"/>
      <w:szCs w:val="24"/>
      <w:lang w:val="zh-CN" w:eastAsia="zh-CN"/>
    </w:rPr>
  </w:style>
  <w:style w:type="character" w:customStyle="1" w:styleId="25">
    <w:name w:val="标题 7 字符"/>
    <w:basedOn w:val="18"/>
    <w:link w:val="8"/>
    <w:qFormat/>
    <w:uiPriority w:val="0"/>
    <w:rPr>
      <w:rFonts w:ascii="Times New Roman" w:hAnsi="Times New Roman" w:eastAsia="宋体" w:cs="Times New Roman"/>
      <w:b/>
      <w:bCs/>
      <w:kern w:val="0"/>
      <w:sz w:val="24"/>
      <w:szCs w:val="24"/>
    </w:rPr>
  </w:style>
  <w:style w:type="character" w:customStyle="1" w:styleId="26">
    <w:name w:val="标题 8 字符"/>
    <w:basedOn w:val="18"/>
    <w:link w:val="9"/>
    <w:qFormat/>
    <w:uiPriority w:val="0"/>
    <w:rPr>
      <w:rFonts w:ascii="Arial" w:hAnsi="Arial" w:eastAsia="黑体" w:cs="Times New Roman"/>
      <w:kern w:val="0"/>
      <w:sz w:val="24"/>
      <w:szCs w:val="24"/>
    </w:rPr>
  </w:style>
  <w:style w:type="character" w:customStyle="1" w:styleId="27">
    <w:name w:val="标题 9 字符"/>
    <w:basedOn w:val="18"/>
    <w:link w:val="10"/>
    <w:qFormat/>
    <w:uiPriority w:val="0"/>
    <w:rPr>
      <w:rFonts w:ascii="Arial" w:hAnsi="Arial" w:eastAsia="黑体" w:cs="Times New Roman"/>
      <w:kern w:val="0"/>
      <w:szCs w:val="21"/>
    </w:rPr>
  </w:style>
  <w:style w:type="character" w:customStyle="1" w:styleId="28">
    <w:name w:val="标题 字符"/>
    <w:basedOn w:val="18"/>
    <w:link w:val="16"/>
    <w:qFormat/>
    <w:uiPriority w:val="0"/>
    <w:rPr>
      <w:rFonts w:ascii="Arial" w:hAnsi="Arial" w:eastAsia="宋体" w:cs="Arial"/>
      <w:b/>
      <w:bCs/>
      <w:sz w:val="32"/>
      <w:szCs w:val="32"/>
    </w:rPr>
  </w:style>
  <w:style w:type="paragraph" w:customStyle="1" w:styleId="29">
    <w:name w:val="样式6"/>
    <w:basedOn w:val="1"/>
    <w:qFormat/>
    <w:uiPriority w:val="0"/>
    <w:pPr>
      <w:spacing w:line="360" w:lineRule="auto"/>
      <w:ind w:firstLine="200" w:firstLineChars="200"/>
      <w:jc w:val="left"/>
    </w:pPr>
    <w:rPr>
      <w:sz w:val="24"/>
    </w:rPr>
  </w:style>
  <w:style w:type="paragraph" w:customStyle="1" w:styleId="30">
    <w:name w:val="样式4"/>
    <w:basedOn w:val="1"/>
    <w:qFormat/>
    <w:uiPriority w:val="0"/>
    <w:pPr>
      <w:numPr>
        <w:ilvl w:val="0"/>
        <w:numId w:val="2"/>
      </w:numPr>
      <w:spacing w:line="500" w:lineRule="exact"/>
      <w:jc w:val="left"/>
    </w:pPr>
    <w:rPr>
      <w:rFonts w:ascii="宋体" w:hAnsi="宋体"/>
      <w:b/>
      <w:bCs/>
      <w:sz w:val="24"/>
    </w:rPr>
  </w:style>
  <w:style w:type="paragraph" w:customStyle="1" w:styleId="31">
    <w:name w:val="正文文本缩进1"/>
    <w:basedOn w:val="1"/>
    <w:qFormat/>
    <w:uiPriority w:val="0"/>
    <w:pPr>
      <w:widowControl/>
      <w:ind w:firstLine="360"/>
      <w:jc w:val="left"/>
    </w:pPr>
    <w:rPr>
      <w:kern w:val="0"/>
      <w:sz w:val="24"/>
    </w:rPr>
  </w:style>
  <w:style w:type="paragraph" w:customStyle="1" w:styleId="32">
    <w:name w:val="样式5"/>
    <w:basedOn w:val="1"/>
    <w:qFormat/>
    <w:uiPriority w:val="0"/>
    <w:pPr>
      <w:spacing w:line="360" w:lineRule="auto"/>
      <w:ind w:firstLine="200" w:firstLineChars="200"/>
      <w:jc w:val="left"/>
    </w:pPr>
    <w:rPr>
      <w:sz w:val="24"/>
    </w:rPr>
  </w:style>
  <w:style w:type="paragraph" w:customStyle="1" w:styleId="33">
    <w:name w:val="样式 标题 6 + 黑色"/>
    <w:basedOn w:val="7"/>
    <w:qFormat/>
    <w:uiPriority w:val="0"/>
    <w:pPr>
      <w:spacing w:before="120" w:after="60"/>
    </w:pPr>
    <w:rPr>
      <w:sz w:val="28"/>
    </w:rPr>
  </w:style>
  <w:style w:type="character" w:customStyle="1" w:styleId="34">
    <w:name w:val="页眉 字符"/>
    <w:basedOn w:val="18"/>
    <w:link w:val="15"/>
    <w:qFormat/>
    <w:uiPriority w:val="99"/>
    <w:rPr>
      <w:rFonts w:ascii="Times New Roman" w:hAnsi="Times New Roman" w:eastAsia="宋体" w:cs="Times New Roman"/>
      <w:sz w:val="18"/>
      <w:szCs w:val="18"/>
    </w:rPr>
  </w:style>
  <w:style w:type="character" w:customStyle="1" w:styleId="35">
    <w:name w:val="页脚 字符"/>
    <w:basedOn w:val="18"/>
    <w:link w:val="14"/>
    <w:qFormat/>
    <w:uiPriority w:val="99"/>
    <w:rPr>
      <w:rFonts w:ascii="Times New Roman" w:hAnsi="Times New Roman" w:eastAsia="宋体" w:cs="Times New Roman"/>
      <w:sz w:val="18"/>
      <w:szCs w:val="18"/>
    </w:rPr>
  </w:style>
  <w:style w:type="character" w:customStyle="1" w:styleId="36">
    <w:name w:val="正文文本 字符1"/>
    <w:link w:val="12"/>
    <w:qFormat/>
    <w:uiPriority w:val="0"/>
    <w:rPr>
      <w:rFonts w:ascii="宋体"/>
      <w:sz w:val="24"/>
      <w:szCs w:val="24"/>
    </w:rPr>
  </w:style>
  <w:style w:type="character" w:customStyle="1" w:styleId="37">
    <w:name w:val="正文文本 字符"/>
    <w:basedOn w:val="18"/>
    <w:semiHidden/>
    <w:qFormat/>
    <w:uiPriority w:val="99"/>
    <w:rPr>
      <w:rFonts w:ascii="Times New Roman" w:hAnsi="Times New Roman" w:eastAsia="宋体" w:cs="Times New Roman"/>
      <w:szCs w:val="24"/>
    </w:rPr>
  </w:style>
  <w:style w:type="character" w:customStyle="1" w:styleId="38">
    <w:name w:val="批注框文本 字符"/>
    <w:basedOn w:val="18"/>
    <w:link w:val="13"/>
    <w:semiHidden/>
    <w:qFormat/>
    <w:uiPriority w:val="99"/>
    <w:rPr>
      <w:rFonts w:ascii="Times New Roman" w:hAnsi="Times New Roman" w:eastAsia="宋体" w:cs="Times New Roman"/>
      <w:sz w:val="18"/>
      <w:szCs w:val="18"/>
    </w:rPr>
  </w:style>
  <w:style w:type="paragraph" w:customStyle="1" w:styleId="39">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2160</Words>
  <Characters>2220</Characters>
  <Lines>15</Lines>
  <Paragraphs>4</Paragraphs>
  <TotalTime>7</TotalTime>
  <ScaleCrop>false</ScaleCrop>
  <LinksUpToDate>false</LinksUpToDate>
  <CharactersWithSpaces>2222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2025-03-12T06:22:00Z</dcterms:created>
  <dc:creator>福特宝办公室</dc:creator>
  <cp:lastModifiedBy>YIN</cp:lastModifiedBy>
  <cp:lastPrinted>2024-09-30T01:58:00Z</cp:lastPrinted>
  <dcterms:modified xsi:type="dcterms:W3CDTF">2026-08-19T01:12:07Z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eyJoZGlkIjoiMWMzODI5ZTVlYzE2MzVlYmI5YTBmNzg2MDViZWE3YjgiLCJ1c2VySWQiOiIxMTIxODE1ODE3In0=</vt:lpwstr>
  </property>
  <property fmtid="{D5CDD505-2E9C-101B-9397-08002B2CF9AE}" pid="3" name="KSOProductBuildVer">
    <vt:lpwstr>2052-12.1.0.28043</vt:lpwstr>
  </property>
  <property fmtid="{D5CDD505-2E9C-101B-9397-08002B2CF9AE}" pid="4" name="ICV">
    <vt:lpwstr>A27F2184987D4D15B77BCF7BFBC31493_12</vt:lpwstr>
  </property>
</Properties>
</file>